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黑体"/>
          <w:sz w:val="32"/>
          <w:szCs w:val="32"/>
        </w:rPr>
      </w:pPr>
      <w:bookmarkStart w:id="0" w:name="_GoBack"/>
      <w:bookmarkEnd w:id="0"/>
      <w:r>
        <w:rPr>
          <w:rFonts w:hint="eastAsia" w:ascii="Times New Roman" w:hAnsi="Times New Roman" w:eastAsia="黑体" w:cs="黑体"/>
          <w:sz w:val="32"/>
          <w:szCs w:val="32"/>
        </w:rPr>
        <w:t>附件2</w:t>
      </w:r>
    </w:p>
    <w:p>
      <w:pPr>
        <w:jc w:val="center"/>
        <w:rPr>
          <w:rFonts w:hint="eastAsia" w:ascii="Times New Roman" w:hAnsi="Times New Roman" w:eastAsia="黑体" w:cs="黑体"/>
          <w:sz w:val="44"/>
          <w:szCs w:val="44"/>
        </w:rPr>
      </w:pPr>
    </w:p>
    <w:p>
      <w:pPr>
        <w:jc w:val="center"/>
        <w:rPr>
          <w:rFonts w:hint="eastAsia" w:ascii="Times New Roman" w:hAnsi="Times New Roman" w:eastAsia="黑体" w:cs="黑体"/>
          <w:sz w:val="44"/>
          <w:szCs w:val="44"/>
        </w:rPr>
      </w:pPr>
      <w:r>
        <w:rPr>
          <w:rFonts w:hint="eastAsia" w:ascii="Times New Roman" w:hAnsi="Times New Roman" w:eastAsia="黑体" w:cs="黑体"/>
          <w:sz w:val="44"/>
          <w:szCs w:val="44"/>
        </w:rPr>
        <w:t>考核内容要点</w:t>
      </w:r>
    </w:p>
    <w:p>
      <w:pPr>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（园区管委会和区级各有关单位）</w:t>
      </w:r>
    </w:p>
    <w:tbl>
      <w:tblPr>
        <w:tblStyle w:val="9"/>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433"/>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58" w:type="dxa"/>
            <w:noWrap w:val="0"/>
            <w:vAlign w:val="center"/>
          </w:tcPr>
          <w:p>
            <w:pPr>
              <w:jc w:val="center"/>
              <w:rPr>
                <w:rFonts w:hint="eastAsia" w:ascii="Times New Roman" w:hAnsi="Times New Roman" w:eastAsia="黑体"/>
                <w:sz w:val="32"/>
                <w:szCs w:val="21"/>
              </w:rPr>
            </w:pPr>
            <w:r>
              <w:rPr>
                <w:rFonts w:hint="eastAsia" w:ascii="Times New Roman" w:hAnsi="Times New Roman" w:eastAsia="黑体"/>
                <w:sz w:val="32"/>
                <w:szCs w:val="21"/>
              </w:rPr>
              <w:t>序号</w:t>
            </w:r>
          </w:p>
        </w:tc>
        <w:tc>
          <w:tcPr>
            <w:tcW w:w="2433" w:type="dxa"/>
            <w:noWrap w:val="0"/>
            <w:vAlign w:val="center"/>
          </w:tcPr>
          <w:p>
            <w:pPr>
              <w:jc w:val="center"/>
              <w:rPr>
                <w:rFonts w:hint="eastAsia" w:ascii="Times New Roman" w:hAnsi="Times New Roman" w:eastAsia="黑体"/>
                <w:sz w:val="32"/>
                <w:szCs w:val="21"/>
              </w:rPr>
            </w:pPr>
            <w:r>
              <w:rPr>
                <w:rFonts w:hint="eastAsia" w:ascii="Times New Roman" w:hAnsi="Times New Roman" w:eastAsia="黑体"/>
                <w:sz w:val="32"/>
                <w:szCs w:val="21"/>
              </w:rPr>
              <w:t>考核内容</w:t>
            </w:r>
          </w:p>
        </w:tc>
        <w:tc>
          <w:tcPr>
            <w:tcW w:w="5988" w:type="dxa"/>
            <w:noWrap w:val="0"/>
            <w:vAlign w:val="center"/>
          </w:tcPr>
          <w:p>
            <w:pPr>
              <w:jc w:val="center"/>
              <w:rPr>
                <w:rFonts w:hint="eastAsia" w:ascii="Times New Roman" w:hAnsi="Times New Roman" w:eastAsia="黑体"/>
                <w:sz w:val="32"/>
                <w:szCs w:val="21"/>
              </w:rPr>
            </w:pPr>
            <w:r>
              <w:rPr>
                <w:rFonts w:hint="eastAsia" w:ascii="Times New Roman" w:hAnsi="Times New Roman" w:eastAsia="黑体"/>
                <w:sz w:val="32"/>
                <w:szCs w:val="21"/>
              </w:rPr>
              <w:t>考核要点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1</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组织推动</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深入学习贯彻习近平总书记关于食品安全工作的重要论述、重要指示批示精神，市委、市政府决策部署和区委、区政府工作要求情况。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2</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年度重点工作落实</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天津市年度重点工作安排和宁河区年度食品安全监管计划完成情况、食品安全工作职责落实情况等。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3</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体制机制建设</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政策制定、健全机制情况等。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4</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即时性工作</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中市委、市政府部署的新增重点专项工作和区委、区政府新增重点工作要求（如应对重大自然灾害、重大突发事件和开展重大专项整治等），以及天津市食品安全委员会和区食安委部署的新增专项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5</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加分项</w:t>
            </w:r>
          </w:p>
          <w:p>
            <w:pPr>
              <w:adjustRightInd w:val="0"/>
              <w:snapToGrid w:val="0"/>
              <w:jc w:val="center"/>
              <w:rPr>
                <w:rFonts w:hint="eastAsia" w:ascii="宋体" w:hAnsi="宋体" w:eastAsia="仿宋_GB2312"/>
                <w:sz w:val="18"/>
                <w:szCs w:val="18"/>
              </w:rPr>
            </w:pPr>
            <w:r>
              <w:rPr>
                <w:rFonts w:hint="eastAsia" w:ascii="Times New Roman" w:hAnsi="Times New Roman" w:eastAsia="仿宋_GB2312" w:cs="宋体"/>
                <w:sz w:val="24"/>
                <w:szCs w:val="24"/>
              </w:rPr>
              <w:t>（总分值10%以内）</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在获得天津市食品安全委员会通报表扬或加分、落实党政同责（包括队伍建设、投入保障等）、监管工作、推动产业高质量发展、推进社会共治等方面形成创新性示范经验做法，以及在重大活动保障等方面取得突出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6</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减分项</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发生食品安全事件、上年度考核发现问题未整改到位、重点工作推动不力等。</w:t>
            </w:r>
          </w:p>
        </w:tc>
      </w:tr>
    </w:tbl>
    <w:p>
      <w:pPr>
        <w:adjustRightInd w:val="0"/>
        <w:snapToGrid w:val="0"/>
        <w:jc w:val="left"/>
        <w:rPr>
          <w:rFonts w:hint="eastAsia" w:ascii="Times New Roman" w:hAnsi="Times New Roman" w:eastAsia="仿宋_GB2312" w:cs="宋体"/>
          <w:sz w:val="32"/>
          <w:szCs w:val="21"/>
        </w:rPr>
      </w:pP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有关说明：</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1.具体考核指标及分值根据年度重点工作进行调整，由区食安办在年度食品安全工作考核方案及其细则中明确。</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2.即时性工作由区食安办根据工作有无及难易程度情况确定具体分值，在当年考核方案及其细则中明确。</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3.加减分项分值在当年考核方案及其细则中明确。</w:t>
      </w: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spacing w:line="20" w:lineRule="exact"/>
        <w:rPr>
          <w:rFonts w:hint="default" w:ascii="Times New Roman" w:hAnsi="Times New Roman" w:eastAsia="宋体" w:cs="Times New Roman"/>
        </w:rPr>
      </w:pPr>
    </w:p>
    <w:p>
      <w:pPr>
        <w:spacing w:line="20" w:lineRule="exact"/>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楷体简体">
    <w:altName w:val="宋体"/>
    <w:panose1 w:val="02000000000000000000"/>
    <w:charset w:val="00"/>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 w:name="KSO_WPS_MARK_KEY" w:val="c329cc40-1198-48bb-9d83-f4ec218e4968"/>
  </w:docVars>
  <w:rsids>
    <w:rsidRoot w:val="ABED7ABB"/>
    <w:rsid w:val="01A06E9D"/>
    <w:rsid w:val="027C3C34"/>
    <w:rsid w:val="04904FA7"/>
    <w:rsid w:val="055EFDA1"/>
    <w:rsid w:val="056F1060"/>
    <w:rsid w:val="0CD564C9"/>
    <w:rsid w:val="0D7F2888"/>
    <w:rsid w:val="0EEF120A"/>
    <w:rsid w:val="0FADAC27"/>
    <w:rsid w:val="132B7955"/>
    <w:rsid w:val="181635BD"/>
    <w:rsid w:val="198D2C7C"/>
    <w:rsid w:val="1B284903"/>
    <w:rsid w:val="1D6999CF"/>
    <w:rsid w:val="1FF830DF"/>
    <w:rsid w:val="22CA37E5"/>
    <w:rsid w:val="26EFDEB6"/>
    <w:rsid w:val="299F76EB"/>
    <w:rsid w:val="2C757CA8"/>
    <w:rsid w:val="31D22294"/>
    <w:rsid w:val="34DE5700"/>
    <w:rsid w:val="3703520D"/>
    <w:rsid w:val="373AA449"/>
    <w:rsid w:val="37FF3E83"/>
    <w:rsid w:val="38BD5663"/>
    <w:rsid w:val="3B8F4963"/>
    <w:rsid w:val="3E7DA229"/>
    <w:rsid w:val="47E90CDD"/>
    <w:rsid w:val="49C820BA"/>
    <w:rsid w:val="4FEE3C3F"/>
    <w:rsid w:val="57EF5136"/>
    <w:rsid w:val="5BEAC3F5"/>
    <w:rsid w:val="5C83736F"/>
    <w:rsid w:val="5D5F67AE"/>
    <w:rsid w:val="5E771FC7"/>
    <w:rsid w:val="5F6D9CA5"/>
    <w:rsid w:val="5FD76366"/>
    <w:rsid w:val="5FF7458E"/>
    <w:rsid w:val="607F3955"/>
    <w:rsid w:val="60CC19D1"/>
    <w:rsid w:val="61CD6067"/>
    <w:rsid w:val="63513261"/>
    <w:rsid w:val="64BFA266"/>
    <w:rsid w:val="64EA65BF"/>
    <w:rsid w:val="65A840EC"/>
    <w:rsid w:val="66B31BC3"/>
    <w:rsid w:val="67FEC597"/>
    <w:rsid w:val="69AE2C22"/>
    <w:rsid w:val="6BBD714D"/>
    <w:rsid w:val="6CAF94E1"/>
    <w:rsid w:val="6CF771F1"/>
    <w:rsid w:val="6EF9DB0E"/>
    <w:rsid w:val="6FE6CDA2"/>
    <w:rsid w:val="6FFB2C3A"/>
    <w:rsid w:val="6FFF635A"/>
    <w:rsid w:val="735D572F"/>
    <w:rsid w:val="74703282"/>
    <w:rsid w:val="74EE39D7"/>
    <w:rsid w:val="77DED212"/>
    <w:rsid w:val="77FE9589"/>
    <w:rsid w:val="7B17BA7D"/>
    <w:rsid w:val="7CA731A1"/>
    <w:rsid w:val="7CD7FEAB"/>
    <w:rsid w:val="7DEC3DB7"/>
    <w:rsid w:val="7DF96CD2"/>
    <w:rsid w:val="7DFF555C"/>
    <w:rsid w:val="7EBF1EE7"/>
    <w:rsid w:val="7EE74BF9"/>
    <w:rsid w:val="7F1BB3C1"/>
    <w:rsid w:val="7F36B2CA"/>
    <w:rsid w:val="7F767DB5"/>
    <w:rsid w:val="7FAECD3B"/>
    <w:rsid w:val="7FAF94ED"/>
    <w:rsid w:val="7FDFE329"/>
    <w:rsid w:val="7FEE13F2"/>
    <w:rsid w:val="7FF21C19"/>
    <w:rsid w:val="7FF73FA0"/>
    <w:rsid w:val="7FFB050A"/>
    <w:rsid w:val="7FFD89F3"/>
    <w:rsid w:val="7FFFBBD9"/>
    <w:rsid w:val="8BFFC54F"/>
    <w:rsid w:val="ABED7ABB"/>
    <w:rsid w:val="AFF7EC7B"/>
    <w:rsid w:val="AFF7EE1E"/>
    <w:rsid w:val="BBEFF03F"/>
    <w:rsid w:val="BFBAC234"/>
    <w:rsid w:val="BFF70AF5"/>
    <w:rsid w:val="CB7DE942"/>
    <w:rsid w:val="CEBF162A"/>
    <w:rsid w:val="D2FFCC4D"/>
    <w:rsid w:val="D4372835"/>
    <w:rsid w:val="D5DF3E85"/>
    <w:rsid w:val="DFBBCEEB"/>
    <w:rsid w:val="DFF96BF7"/>
    <w:rsid w:val="E3F7B973"/>
    <w:rsid w:val="EBEFE156"/>
    <w:rsid w:val="F27918D4"/>
    <w:rsid w:val="F7EF0489"/>
    <w:rsid w:val="FC3A2C26"/>
    <w:rsid w:val="FD6F9C10"/>
    <w:rsid w:val="FDB75DD3"/>
    <w:rsid w:val="FDB953E5"/>
    <w:rsid w:val="FDBFF725"/>
    <w:rsid w:val="FDF7184B"/>
    <w:rsid w:val="FE760366"/>
    <w:rsid w:val="FF3B9421"/>
    <w:rsid w:val="FFB539AF"/>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2">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仿宋_GB2312" w:cs="Times New Roman"/>
      <w:b/>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99"/>
    <w:rPr>
      <w:rFonts w:eastAsia="文星仿宋"/>
      <w:sz w:val="3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paragraph" w:customStyle="1" w:styleId="13">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4">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5">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6">
    <w:name w:val="List Paragraph"/>
    <w:basedOn w:val="1"/>
    <w:qFormat/>
    <w:uiPriority w:val="99"/>
    <w:pPr>
      <w:ind w:firstLine="420"/>
    </w:pPr>
  </w:style>
  <w:style w:type="character" w:customStyle="1" w:styleId="17">
    <w:name w:val="font71"/>
    <w:qFormat/>
    <w:uiPriority w:val="0"/>
    <w:rPr>
      <w:rFonts w:hint="eastAsia" w:ascii="仿宋_GB2312" w:eastAsia="仿宋_GB2312" w:cs="仿宋_GB2312"/>
      <w:color w:val="000000"/>
      <w:sz w:val="24"/>
      <w:szCs w:val="24"/>
      <w:u w:val="none"/>
    </w:rPr>
  </w:style>
  <w:style w:type="character" w:customStyle="1" w:styleId="18">
    <w:name w:val="font101"/>
    <w:qFormat/>
    <w:uiPriority w:val="0"/>
    <w:rPr>
      <w:rFonts w:hint="default" w:ascii="Times New Roman" w:hAnsi="Times New Roman" w:cs="Times New Roman"/>
      <w:color w:val="000000"/>
      <w:sz w:val="24"/>
      <w:szCs w:val="24"/>
      <w:u w:val="none"/>
    </w:rPr>
  </w:style>
  <w:style w:type="character" w:customStyle="1" w:styleId="19">
    <w:name w:val="font21"/>
    <w:qFormat/>
    <w:uiPriority w:val="0"/>
    <w:rPr>
      <w:rFonts w:ascii="仿宋_GB2312" w:eastAsia="仿宋_GB2312" w:cs="仿宋_GB2312"/>
      <w:color w:val="000000"/>
      <w:sz w:val="24"/>
      <w:szCs w:val="24"/>
      <w:u w:val="none"/>
    </w:rPr>
  </w:style>
  <w:style w:type="character" w:customStyle="1" w:styleId="20">
    <w:name w:val="font41"/>
    <w:qFormat/>
    <w:uiPriority w:val="0"/>
    <w:rPr>
      <w:rFonts w:hint="eastAsia" w:ascii="仿宋_GB2312" w:eastAsia="仿宋_GB2312" w:cs="仿宋_GB2312"/>
      <w:color w:val="000000"/>
      <w:sz w:val="24"/>
      <w:szCs w:val="24"/>
      <w:u w:val="none"/>
    </w:rPr>
  </w:style>
  <w:style w:type="character" w:customStyle="1" w:styleId="21">
    <w:name w:val="font112"/>
    <w:qFormat/>
    <w:uiPriority w:val="0"/>
    <w:rPr>
      <w:rFonts w:hint="default" w:ascii="Times New Roman" w:hAnsi="Times New Roman" w:cs="Times New Roman"/>
      <w:color w:val="000000"/>
      <w:sz w:val="24"/>
      <w:szCs w:val="24"/>
      <w:u w:val="none"/>
    </w:rPr>
  </w:style>
  <w:style w:type="character" w:customStyle="1" w:styleId="22">
    <w:name w:val="font151"/>
    <w:qFormat/>
    <w:uiPriority w:val="0"/>
    <w:rPr>
      <w:rFonts w:hint="eastAsia" w:ascii="仿宋_GB2312" w:eastAsia="仿宋_GB2312" w:cs="仿宋_GB2312"/>
      <w:color w:val="000000"/>
      <w:sz w:val="24"/>
      <w:szCs w:val="24"/>
      <w:u w:val="none"/>
    </w:rPr>
  </w:style>
  <w:style w:type="character" w:customStyle="1" w:styleId="23">
    <w:name w:val="font121"/>
    <w:qFormat/>
    <w:uiPriority w:val="0"/>
    <w:rPr>
      <w:rFonts w:hint="default" w:ascii="Times New Roman" w:hAnsi="Times New Roman" w:cs="Times New Roman"/>
      <w:color w:val="000000"/>
      <w:sz w:val="24"/>
      <w:szCs w:val="24"/>
      <w:u w:val="none"/>
    </w:rPr>
  </w:style>
  <w:style w:type="character" w:customStyle="1" w:styleId="24">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5557</Words>
  <Characters>5588</Characters>
  <Lines>0</Lines>
  <Paragraphs>0</Paragraphs>
  <TotalTime>17</TotalTime>
  <ScaleCrop>false</ScaleCrop>
  <LinksUpToDate>false</LinksUpToDate>
  <CharactersWithSpaces>5668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2021-07-09T23:44:00Z</dcterms:created>
  <dc:creator>admin</dc:creator>
  <cp:lastModifiedBy>Administrator</cp:lastModifiedBy>
  <cp:lastPrinted>2024-01-03T00:18:00Z</cp:lastPrinted>
  <dcterms:modified xsi:type="dcterms:W3CDTF">2024-01-19T03:00:46Z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