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45F29">
      <w:pPr>
        <w:pageBreakBefore w:val="0"/>
        <w:kinsoku/>
        <w:wordWrap/>
        <w:topLinePunct w:val="0"/>
        <w:autoSpaceDE/>
        <w:autoSpaceDN/>
        <w:bidi w:val="0"/>
        <w:adjustRightInd/>
        <w:snapToGrid/>
        <w:spacing w:line="560" w:lineRule="exact"/>
        <w:ind w:firstLine="0" w:firstLineChars="0"/>
        <w:rPr>
          <w:rFonts w:ascii="黑体" w:hAnsi="黑体" w:eastAsia="黑体" w:cs="黑体"/>
          <w:szCs w:val="32"/>
        </w:rPr>
      </w:pPr>
    </w:p>
    <w:p w14:paraId="04BFCF85">
      <w:pPr>
        <w:pStyle w:val="7"/>
        <w:pageBreakBefore w:val="0"/>
        <w:kinsoku/>
        <w:wordWrap/>
        <w:topLinePunct w:val="0"/>
        <w:autoSpaceDE/>
        <w:autoSpaceDN/>
        <w:bidi w:val="0"/>
        <w:spacing w:line="560" w:lineRule="exact"/>
      </w:pPr>
    </w:p>
    <w:p w14:paraId="00F3FD64">
      <w:pPr>
        <w:pageBreakBefore w:val="0"/>
        <w:kinsoku/>
        <w:wordWrap/>
        <w:topLinePunct w:val="0"/>
        <w:autoSpaceDE/>
        <w:autoSpaceDN/>
        <w:bidi w:val="0"/>
        <w:spacing w:line="560" w:lineRule="exact"/>
        <w:ind w:firstLine="0" w:firstLineChars="0"/>
        <w:jc w:val="center"/>
        <w:rPr>
          <w:rFonts w:ascii="黑体" w:hAnsi="黑体" w:eastAsia="黑体" w:cs="Times New Roman"/>
          <w:bCs/>
          <w:sz w:val="52"/>
          <w:szCs w:val="44"/>
        </w:rPr>
      </w:pPr>
    </w:p>
    <w:p w14:paraId="514A44D0">
      <w:pPr>
        <w:pageBreakBefore w:val="0"/>
        <w:kinsoku/>
        <w:wordWrap/>
        <w:topLinePunct w:val="0"/>
        <w:autoSpaceDE/>
        <w:autoSpaceDN/>
        <w:bidi w:val="0"/>
        <w:spacing w:line="560" w:lineRule="exact"/>
        <w:ind w:firstLine="0" w:firstLineChars="0"/>
        <w:jc w:val="center"/>
        <w:rPr>
          <w:rFonts w:ascii="黑体" w:hAnsi="黑体" w:eastAsia="黑体" w:cs="Times New Roman"/>
          <w:bCs/>
          <w:sz w:val="44"/>
          <w:szCs w:val="44"/>
        </w:rPr>
      </w:pPr>
      <w:r>
        <w:rPr>
          <w:rFonts w:ascii="黑体" w:hAnsi="黑体" w:eastAsia="黑体" w:cs="Times New Roman"/>
          <w:bCs/>
          <w:sz w:val="52"/>
          <w:szCs w:val="44"/>
        </w:rPr>
        <w:t>宁河区农业农村发展“十四五”规划</w:t>
      </w:r>
    </w:p>
    <w:p w14:paraId="52069D7E">
      <w:pPr>
        <w:pStyle w:val="7"/>
        <w:pageBreakBefore w:val="0"/>
        <w:kinsoku/>
        <w:wordWrap/>
        <w:topLinePunct w:val="0"/>
        <w:autoSpaceDE/>
        <w:autoSpaceDN/>
        <w:bidi w:val="0"/>
        <w:spacing w:line="560" w:lineRule="exact"/>
        <w:ind w:firstLine="0" w:firstLineChars="0"/>
        <w:jc w:val="center"/>
        <w:rPr>
          <w:rFonts w:ascii="仿宋" w:hAnsi="仿宋" w:eastAsia="仿宋"/>
          <w:bCs/>
          <w:sz w:val="36"/>
          <w:szCs w:val="32"/>
        </w:rPr>
      </w:pPr>
    </w:p>
    <w:p w14:paraId="644F9BBF">
      <w:pPr>
        <w:pStyle w:val="7"/>
        <w:pageBreakBefore w:val="0"/>
        <w:kinsoku/>
        <w:wordWrap/>
        <w:topLinePunct w:val="0"/>
        <w:autoSpaceDE/>
        <w:autoSpaceDN/>
        <w:bidi w:val="0"/>
        <w:spacing w:line="560" w:lineRule="exact"/>
        <w:ind w:left="0" w:leftChars="0" w:firstLine="0" w:firstLineChars="0"/>
        <w:jc w:val="center"/>
        <w:rPr>
          <w:rFonts w:hint="eastAsia" w:ascii="方正小标宋简体" w:hAnsi="方正小标宋简体" w:eastAsia="方正小标宋简体" w:cs="方正小标宋简体"/>
          <w:bCs/>
          <w:sz w:val="36"/>
          <w:szCs w:val="32"/>
          <w:lang w:val="en-US" w:eastAsia="zh-CN"/>
        </w:rPr>
      </w:pPr>
      <w:r>
        <w:rPr>
          <w:rFonts w:hint="eastAsia" w:ascii="方正小标宋简体" w:hAnsi="方正小标宋简体" w:eastAsia="方正小标宋简体" w:cs="方正小标宋简体"/>
          <w:bCs/>
          <w:sz w:val="36"/>
          <w:szCs w:val="32"/>
          <w:lang w:val="en-US" w:eastAsia="zh-CN"/>
        </w:rPr>
        <w:t>（征求意见稿）</w:t>
      </w:r>
    </w:p>
    <w:p w14:paraId="47D36384">
      <w:pPr>
        <w:pStyle w:val="7"/>
        <w:pageBreakBefore w:val="0"/>
        <w:kinsoku/>
        <w:wordWrap/>
        <w:topLinePunct w:val="0"/>
        <w:autoSpaceDE/>
        <w:autoSpaceDN/>
        <w:bidi w:val="0"/>
        <w:spacing w:line="560" w:lineRule="exact"/>
        <w:ind w:firstLine="720"/>
        <w:rPr>
          <w:rFonts w:ascii="仿宋" w:hAnsi="仿宋" w:eastAsia="仿宋"/>
          <w:bCs/>
          <w:sz w:val="36"/>
          <w:szCs w:val="32"/>
        </w:rPr>
      </w:pPr>
    </w:p>
    <w:p w14:paraId="0EE01723">
      <w:pPr>
        <w:pStyle w:val="7"/>
        <w:pageBreakBefore w:val="0"/>
        <w:kinsoku/>
        <w:wordWrap/>
        <w:topLinePunct w:val="0"/>
        <w:autoSpaceDE/>
        <w:autoSpaceDN/>
        <w:bidi w:val="0"/>
        <w:spacing w:line="560" w:lineRule="exact"/>
        <w:ind w:firstLine="720"/>
        <w:rPr>
          <w:rFonts w:ascii="仿宋" w:hAnsi="仿宋" w:eastAsia="仿宋"/>
          <w:bCs/>
          <w:sz w:val="36"/>
          <w:szCs w:val="32"/>
        </w:rPr>
      </w:pPr>
    </w:p>
    <w:p w14:paraId="6914C007">
      <w:pPr>
        <w:pStyle w:val="7"/>
        <w:pageBreakBefore w:val="0"/>
        <w:kinsoku/>
        <w:wordWrap/>
        <w:topLinePunct w:val="0"/>
        <w:autoSpaceDE/>
        <w:autoSpaceDN/>
        <w:bidi w:val="0"/>
        <w:spacing w:line="560" w:lineRule="exact"/>
        <w:ind w:firstLine="720"/>
        <w:rPr>
          <w:rFonts w:ascii="仿宋" w:hAnsi="仿宋" w:eastAsia="仿宋"/>
          <w:bCs/>
          <w:sz w:val="36"/>
          <w:szCs w:val="32"/>
        </w:rPr>
      </w:pPr>
    </w:p>
    <w:p w14:paraId="1C0FB252">
      <w:pPr>
        <w:pStyle w:val="7"/>
        <w:pageBreakBefore w:val="0"/>
        <w:kinsoku/>
        <w:wordWrap/>
        <w:topLinePunct w:val="0"/>
        <w:autoSpaceDE/>
        <w:autoSpaceDN/>
        <w:bidi w:val="0"/>
        <w:spacing w:line="560" w:lineRule="exact"/>
        <w:ind w:firstLine="720"/>
        <w:rPr>
          <w:rFonts w:ascii="仿宋" w:hAnsi="仿宋" w:eastAsia="仿宋"/>
          <w:bCs/>
          <w:sz w:val="36"/>
          <w:szCs w:val="32"/>
        </w:rPr>
      </w:pPr>
    </w:p>
    <w:p w14:paraId="2409CF35">
      <w:pPr>
        <w:pStyle w:val="7"/>
        <w:pageBreakBefore w:val="0"/>
        <w:kinsoku/>
        <w:wordWrap/>
        <w:topLinePunct w:val="0"/>
        <w:autoSpaceDE/>
        <w:autoSpaceDN/>
        <w:bidi w:val="0"/>
        <w:spacing w:line="560" w:lineRule="exact"/>
        <w:ind w:firstLine="720"/>
        <w:rPr>
          <w:rFonts w:ascii="仿宋" w:hAnsi="仿宋" w:eastAsia="仿宋"/>
          <w:bCs/>
          <w:sz w:val="36"/>
          <w:szCs w:val="32"/>
        </w:rPr>
      </w:pPr>
    </w:p>
    <w:p w14:paraId="445C3E5D">
      <w:pPr>
        <w:pStyle w:val="7"/>
        <w:pageBreakBefore w:val="0"/>
        <w:kinsoku/>
        <w:wordWrap/>
        <w:topLinePunct w:val="0"/>
        <w:autoSpaceDE/>
        <w:autoSpaceDN/>
        <w:bidi w:val="0"/>
        <w:spacing w:line="560" w:lineRule="exact"/>
        <w:ind w:firstLine="720"/>
        <w:rPr>
          <w:rFonts w:ascii="仿宋" w:hAnsi="仿宋" w:eastAsia="仿宋"/>
          <w:bCs/>
          <w:sz w:val="36"/>
          <w:szCs w:val="32"/>
        </w:rPr>
      </w:pPr>
    </w:p>
    <w:p w14:paraId="6CE03436">
      <w:pPr>
        <w:pStyle w:val="7"/>
        <w:pageBreakBefore w:val="0"/>
        <w:kinsoku/>
        <w:wordWrap/>
        <w:topLinePunct w:val="0"/>
        <w:autoSpaceDE/>
        <w:autoSpaceDN/>
        <w:bidi w:val="0"/>
        <w:spacing w:line="560" w:lineRule="exact"/>
        <w:ind w:firstLine="720"/>
        <w:rPr>
          <w:rFonts w:ascii="仿宋" w:hAnsi="仿宋" w:eastAsia="仿宋"/>
          <w:bCs/>
          <w:sz w:val="36"/>
          <w:szCs w:val="32"/>
        </w:rPr>
      </w:pPr>
    </w:p>
    <w:p w14:paraId="25394A1D">
      <w:pPr>
        <w:pStyle w:val="7"/>
        <w:pageBreakBefore w:val="0"/>
        <w:kinsoku/>
        <w:wordWrap/>
        <w:topLinePunct w:val="0"/>
        <w:autoSpaceDE/>
        <w:autoSpaceDN/>
        <w:bidi w:val="0"/>
        <w:spacing w:line="560" w:lineRule="exact"/>
        <w:ind w:firstLine="720"/>
        <w:rPr>
          <w:rFonts w:ascii="仿宋" w:hAnsi="仿宋" w:eastAsia="仿宋"/>
          <w:bCs/>
          <w:sz w:val="36"/>
          <w:szCs w:val="32"/>
        </w:rPr>
      </w:pPr>
    </w:p>
    <w:p w14:paraId="725CE172">
      <w:pPr>
        <w:pStyle w:val="7"/>
        <w:pageBreakBefore w:val="0"/>
        <w:kinsoku/>
        <w:wordWrap/>
        <w:topLinePunct w:val="0"/>
        <w:autoSpaceDE/>
        <w:autoSpaceDN/>
        <w:bidi w:val="0"/>
        <w:spacing w:line="560" w:lineRule="exact"/>
        <w:ind w:firstLine="720"/>
        <w:rPr>
          <w:rFonts w:ascii="仿宋" w:hAnsi="仿宋" w:eastAsia="仿宋"/>
          <w:bCs/>
          <w:sz w:val="36"/>
          <w:szCs w:val="32"/>
        </w:rPr>
      </w:pPr>
    </w:p>
    <w:p w14:paraId="1C1A56CD">
      <w:pPr>
        <w:pStyle w:val="7"/>
        <w:pageBreakBefore w:val="0"/>
        <w:kinsoku/>
        <w:wordWrap/>
        <w:topLinePunct w:val="0"/>
        <w:autoSpaceDE/>
        <w:autoSpaceDN/>
        <w:bidi w:val="0"/>
        <w:spacing w:line="560" w:lineRule="exact"/>
        <w:ind w:firstLine="720"/>
        <w:rPr>
          <w:rFonts w:ascii="仿宋" w:hAnsi="仿宋" w:eastAsia="仿宋"/>
          <w:bCs/>
          <w:sz w:val="36"/>
          <w:szCs w:val="32"/>
        </w:rPr>
      </w:pPr>
    </w:p>
    <w:p w14:paraId="4FC2D530">
      <w:pPr>
        <w:pStyle w:val="7"/>
        <w:pageBreakBefore w:val="0"/>
        <w:kinsoku/>
        <w:wordWrap/>
        <w:topLinePunct w:val="0"/>
        <w:autoSpaceDE/>
        <w:autoSpaceDN/>
        <w:bidi w:val="0"/>
        <w:spacing w:line="560" w:lineRule="exact"/>
        <w:ind w:firstLine="720"/>
        <w:rPr>
          <w:rFonts w:ascii="仿宋" w:hAnsi="仿宋" w:eastAsia="仿宋"/>
          <w:bCs/>
          <w:sz w:val="36"/>
          <w:szCs w:val="32"/>
        </w:rPr>
      </w:pPr>
    </w:p>
    <w:p w14:paraId="21882B92">
      <w:pPr>
        <w:pStyle w:val="7"/>
        <w:pageBreakBefore w:val="0"/>
        <w:kinsoku/>
        <w:wordWrap/>
        <w:topLinePunct w:val="0"/>
        <w:autoSpaceDE/>
        <w:autoSpaceDN/>
        <w:bidi w:val="0"/>
        <w:spacing w:line="560" w:lineRule="exact"/>
        <w:ind w:firstLine="0" w:firstLineChars="0"/>
        <w:jc w:val="center"/>
        <w:rPr>
          <w:rFonts w:ascii="黑体" w:hAnsi="黑体" w:eastAsia="黑体"/>
          <w:bCs/>
          <w:sz w:val="36"/>
          <w:szCs w:val="32"/>
        </w:rPr>
      </w:pPr>
      <w:r>
        <w:rPr>
          <w:rFonts w:ascii="黑体" w:hAnsi="黑体" w:eastAsia="黑体"/>
          <w:bCs/>
          <w:sz w:val="36"/>
          <w:szCs w:val="32"/>
        </w:rPr>
        <w:t>天津市宁河区</w:t>
      </w:r>
      <w:r>
        <w:rPr>
          <w:rFonts w:hint="eastAsia" w:ascii="黑体" w:hAnsi="黑体" w:eastAsia="黑体"/>
          <w:bCs/>
          <w:sz w:val="36"/>
          <w:szCs w:val="32"/>
        </w:rPr>
        <w:t>人民政府</w:t>
      </w:r>
    </w:p>
    <w:p w14:paraId="574BE4FE">
      <w:pPr>
        <w:pStyle w:val="7"/>
        <w:pageBreakBefore w:val="0"/>
        <w:kinsoku/>
        <w:wordWrap/>
        <w:topLinePunct w:val="0"/>
        <w:autoSpaceDE/>
        <w:autoSpaceDN/>
        <w:bidi w:val="0"/>
        <w:spacing w:line="560" w:lineRule="exact"/>
        <w:ind w:firstLine="0" w:firstLineChars="0"/>
        <w:jc w:val="center"/>
        <w:rPr>
          <w:rFonts w:ascii="黑体" w:hAnsi="黑体" w:eastAsia="黑体"/>
          <w:bCs/>
          <w:sz w:val="36"/>
          <w:szCs w:val="32"/>
        </w:rPr>
      </w:pPr>
      <w:r>
        <w:rPr>
          <w:rFonts w:ascii="黑体" w:hAnsi="黑体" w:eastAsia="黑体"/>
          <w:bCs/>
          <w:sz w:val="36"/>
          <w:szCs w:val="32"/>
        </w:rPr>
        <w:t>2022年</w:t>
      </w:r>
      <w:r>
        <w:rPr>
          <w:rFonts w:hint="eastAsia" w:ascii="黑体" w:hAnsi="黑体" w:eastAsia="黑体"/>
          <w:bCs/>
          <w:sz w:val="36"/>
          <w:szCs w:val="32"/>
          <w:lang w:val="en-US" w:eastAsia="zh-CN"/>
        </w:rPr>
        <w:t>9</w:t>
      </w:r>
      <w:r>
        <w:rPr>
          <w:rFonts w:ascii="黑体" w:hAnsi="黑体" w:eastAsia="黑体"/>
          <w:bCs/>
          <w:sz w:val="36"/>
          <w:szCs w:val="32"/>
        </w:rPr>
        <w:t>月</w:t>
      </w:r>
    </w:p>
    <w:p w14:paraId="34B549F2">
      <w:pPr>
        <w:pStyle w:val="7"/>
        <w:pageBreakBefore w:val="0"/>
        <w:kinsoku/>
        <w:wordWrap/>
        <w:topLinePunct w:val="0"/>
        <w:autoSpaceDE/>
        <w:autoSpaceDN/>
        <w:bidi w:val="0"/>
        <w:spacing w:line="560" w:lineRule="exact"/>
        <w:ind w:firstLine="720"/>
        <w:rPr>
          <w:rFonts w:ascii="仿宋" w:hAnsi="仿宋" w:eastAsia="仿宋"/>
          <w:bCs/>
          <w:sz w:val="36"/>
          <w:szCs w:val="32"/>
        </w:rPr>
      </w:pPr>
    </w:p>
    <w:p w14:paraId="3E260653">
      <w:pPr>
        <w:pStyle w:val="7"/>
        <w:pageBreakBefore w:val="0"/>
        <w:kinsoku/>
        <w:wordWrap/>
        <w:topLinePunct w:val="0"/>
        <w:autoSpaceDE/>
        <w:autoSpaceDN/>
        <w:bidi w:val="0"/>
        <w:spacing w:line="560" w:lineRule="exact"/>
        <w:ind w:firstLine="720"/>
        <w:rPr>
          <w:rFonts w:ascii="仿宋" w:hAnsi="仿宋" w:eastAsia="仿宋"/>
          <w:bCs/>
          <w:sz w:val="36"/>
          <w:szCs w:val="32"/>
        </w:rPr>
      </w:pPr>
    </w:p>
    <w:p w14:paraId="66BBB3F4">
      <w:pPr>
        <w:pageBreakBefore w:val="0"/>
        <w:kinsoku/>
        <w:wordWrap/>
        <w:topLinePunct w:val="0"/>
        <w:autoSpaceDE/>
        <w:autoSpaceDN/>
        <w:bidi w:val="0"/>
        <w:spacing w:line="560" w:lineRule="exact"/>
        <w:ind w:firstLine="0" w:firstLineChars="0"/>
        <w:jc w:val="center"/>
        <w:rPr>
          <w:rFonts w:cs="Times New Roman"/>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701" w:right="1559" w:bottom="1531" w:left="1559" w:header="851" w:footer="992" w:gutter="0"/>
          <w:pgNumType w:start="1"/>
          <w:cols w:space="425" w:num="1"/>
          <w:docGrid w:type="lines" w:linePitch="312" w:charSpace="0"/>
        </w:sectPr>
      </w:pPr>
    </w:p>
    <w:p w14:paraId="7A1DC8BE">
      <w:pPr>
        <w:pageBreakBefore w:val="0"/>
        <w:kinsoku/>
        <w:wordWrap/>
        <w:topLinePunct w:val="0"/>
        <w:autoSpaceDE/>
        <w:autoSpaceDN/>
        <w:bidi w:val="0"/>
        <w:spacing w:line="560" w:lineRule="exact"/>
        <w:ind w:firstLine="0" w:firstLineChars="0"/>
        <w:jc w:val="center"/>
        <w:rPr>
          <w:rFonts w:ascii="黑体" w:hAnsi="黑体" w:eastAsia="黑体" w:cs="Times New Roman"/>
          <w:szCs w:val="32"/>
        </w:rPr>
      </w:pPr>
      <w:r>
        <w:rPr>
          <w:rFonts w:ascii="黑体" w:hAnsi="黑体" w:eastAsia="黑体" w:cs="Times New Roman"/>
          <w:szCs w:val="32"/>
        </w:rPr>
        <w:t>前  言</w:t>
      </w:r>
    </w:p>
    <w:p w14:paraId="5B9A7554">
      <w:pPr>
        <w:pageBreakBefore w:val="0"/>
        <w:kinsoku/>
        <w:wordWrap/>
        <w:topLinePunct w:val="0"/>
        <w:autoSpaceDE/>
        <w:autoSpaceDN/>
        <w:bidi w:val="0"/>
        <w:spacing w:line="560" w:lineRule="exact"/>
        <w:ind w:firstLine="640"/>
        <w:rPr>
          <w:rFonts w:cs="Times New Roman"/>
          <w:szCs w:val="32"/>
        </w:rPr>
      </w:pPr>
    </w:p>
    <w:p w14:paraId="09385FA7">
      <w:pPr>
        <w:pageBreakBefore w:val="0"/>
        <w:kinsoku/>
        <w:wordWrap/>
        <w:topLinePunct w:val="0"/>
        <w:autoSpaceDE/>
        <w:autoSpaceDN/>
        <w:bidi w:val="0"/>
        <w:spacing w:line="560" w:lineRule="exact"/>
        <w:ind w:firstLine="640"/>
        <w:rPr>
          <w:rFonts w:cs="Times New Roman"/>
          <w:szCs w:val="32"/>
        </w:rPr>
        <w:sectPr>
          <w:footerReference r:id="rId11" w:type="default"/>
          <w:pgSz w:w="11906" w:h="16838"/>
          <w:pgMar w:top="1701" w:right="1559" w:bottom="1531" w:left="1559" w:header="851" w:footer="992" w:gutter="0"/>
          <w:cols w:space="425" w:num="1"/>
          <w:docGrid w:type="lines" w:linePitch="312" w:charSpace="0"/>
        </w:sectPr>
      </w:pPr>
      <w:r>
        <w:rPr>
          <w:rFonts w:cs="Times New Roman"/>
          <w:szCs w:val="32"/>
        </w:rPr>
        <w:t>“十四五”时期（2021—2025年），是宁河区在全面建成高质量小康社会基础上、开启全面建设社会主义现代化</w:t>
      </w:r>
      <w:r>
        <w:rPr>
          <w:rFonts w:hint="eastAsia" w:cs="Times New Roman"/>
          <w:szCs w:val="32"/>
          <w:lang w:val="en-US" w:eastAsia="zh-CN"/>
        </w:rPr>
        <w:t>国家</w:t>
      </w:r>
      <w:r>
        <w:rPr>
          <w:rFonts w:cs="Times New Roman"/>
          <w:szCs w:val="32"/>
        </w:rPr>
        <w:t>新征程的第一个五年，是进入新发展阶段、贯彻新发展理念、构建新发展格局、全面实施乡村振兴战略的关键时期，也是宁河区农业农村高质量发展的历史性窗口期和战略性机遇期。依据《天津市国民经济和社会发展第十四个五年规划和二〇三五年远景目标纲要》《天津市推进农业农村现代化“十四五”规划》《天津市设施农业“十四五” 发展规划》和《天津市宁河区国民经济和社会发展第十四个五年规划和二〇三五年远景目标纲要》等上位规划，编制《宁河区农业农村发展“十四五”规划》。本规划主要阐明“十四五”时期宁河区农业农村现代化的发展目标、发展重点、发展任务和政策取向，是宁河</w:t>
      </w:r>
      <w:r>
        <w:rPr>
          <w:rFonts w:hint="eastAsia" w:cs="Times New Roman"/>
          <w:szCs w:val="32"/>
        </w:rPr>
        <w:t>区</w:t>
      </w:r>
      <w:r>
        <w:rPr>
          <w:rFonts w:cs="Times New Roman"/>
          <w:szCs w:val="32"/>
        </w:rPr>
        <w:t>农业农村经济发展、市场监管、社会管理和公共服务的重要依据，是引导市场主体行为的重要参考，是全区人民的共同愿景。</w:t>
      </w:r>
    </w:p>
    <w:sdt>
      <w:sdtPr>
        <w:rPr>
          <w:rFonts w:hint="eastAsia" w:ascii="黑体" w:hAnsi="黑体" w:eastAsia="黑体" w:cs="黑体"/>
          <w:kern w:val="2"/>
          <w:sz w:val="32"/>
          <w:szCs w:val="32"/>
          <w:lang w:val="en-US" w:eastAsia="zh-CN" w:bidi="ar-SA"/>
        </w:rPr>
        <w:id w:val="147473573"/>
        <w:docPartObj>
          <w:docPartGallery w:val="Table of Contents"/>
          <w:docPartUnique/>
        </w:docPartObj>
      </w:sdtPr>
      <w:sdtEndPr>
        <w:rPr>
          <w:rFonts w:hint="eastAsia" w:ascii="Times New Roman" w:hAnsi="Times New Roman" w:eastAsia="宋体" w:cs="Times New Roman"/>
          <w:kern w:val="2"/>
          <w:sz w:val="32"/>
          <w:szCs w:val="32"/>
          <w:lang w:val="en-US" w:eastAsia="zh-CN" w:bidi="ar-SA"/>
        </w:rPr>
      </w:sdtEndPr>
      <w:sdtContent>
        <w:p w14:paraId="5FB4AB84">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bookmarkStart w:id="0" w:name="_Toc1741730789_WPSOffice_Type2"/>
          <w:r>
            <w:rPr>
              <w:rFonts w:hint="eastAsia" w:ascii="黑体" w:hAnsi="黑体" w:eastAsia="黑体" w:cs="黑体"/>
              <w:sz w:val="32"/>
              <w:szCs w:val="32"/>
            </w:rPr>
            <w:t>目录</w:t>
          </w:r>
        </w:p>
        <w:p w14:paraId="327DE197">
          <w:pPr>
            <w:pStyle w:val="53"/>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rPr>
              <w:b/>
              <w:bCs/>
            </w:rPr>
            <w:fldChar w:fldCharType="begin"/>
          </w:r>
          <w:r>
            <w:instrText xml:space="preserve"> HYPERLINK \l _Toc1598063320_WPSOffice_Level1 </w:instrText>
          </w:r>
          <w:r>
            <w:rPr>
              <w:b/>
              <w:bCs/>
            </w:rPr>
            <w:fldChar w:fldCharType="separate"/>
          </w:r>
          <w:sdt>
            <w:sdtPr>
              <w:rPr>
                <w:rFonts w:ascii="黑体" w:hAnsi="黑体" w:eastAsia="黑体" w:cstheme="majorBidi"/>
                <w:b/>
                <w:bCs/>
                <w:kern w:val="0"/>
                <w:sz w:val="32"/>
                <w:szCs w:val="36"/>
                <w:lang w:val="en-US" w:eastAsia="ja-JP" w:bidi="ar-SA"/>
              </w:rPr>
              <w:id w:val="296398141"/>
              <w:placeholder>
                <w:docPart w:val="{ac3bc1ec-03e0-4667-b662-188d3491d775}"/>
              </w:placeholder>
            </w:sdtPr>
            <w:sdtEndPr>
              <w:rPr>
                <w:rFonts w:ascii="黑体" w:hAnsi="黑体" w:eastAsia="黑体" w:cstheme="majorBidi"/>
                <w:b/>
                <w:bCs/>
                <w:kern w:val="0"/>
                <w:sz w:val="32"/>
                <w:szCs w:val="36"/>
                <w:lang w:val="en-US" w:eastAsia="ja-JP" w:bidi="ar-SA"/>
              </w:rPr>
            </w:sdtEndPr>
            <w:sdtContent>
              <w:r>
                <w:rPr>
                  <w:rFonts w:hint="eastAsia" w:ascii="黑体" w:hAnsi="黑体" w:eastAsia="黑体" w:cs="黑体"/>
                  <w:b/>
                  <w:bCs/>
                </w:rPr>
                <w:t>第一章 全面落实乡村振兴战略，夯实农业农村发展基础</w:t>
              </w:r>
            </w:sdtContent>
          </w:sdt>
          <w:r>
            <w:rPr>
              <w:b/>
              <w:bCs/>
            </w:rPr>
            <w:tab/>
          </w:r>
          <w:bookmarkStart w:id="1" w:name="_Toc1598063320_WPSOffice_Level1Page"/>
          <w:r>
            <w:rPr>
              <w:b/>
              <w:bCs/>
            </w:rPr>
            <w:t>2</w:t>
          </w:r>
          <w:bookmarkEnd w:id="1"/>
          <w:r>
            <w:rPr>
              <w:b/>
              <w:bCs/>
            </w:rPr>
            <w:fldChar w:fldCharType="end"/>
          </w:r>
        </w:p>
        <w:p w14:paraId="10BD96F5">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_Toc1741730789_WPSOffice_Level2 </w:instrText>
          </w:r>
          <w:r>
            <w:fldChar w:fldCharType="separate"/>
          </w:r>
          <w:sdt>
            <w:sdtPr>
              <w:rPr>
                <w:rFonts w:ascii="黑体" w:hAnsi="黑体" w:eastAsia="黑体" w:cstheme="majorBidi"/>
                <w:kern w:val="0"/>
                <w:sz w:val="32"/>
                <w:szCs w:val="36"/>
                <w:lang w:val="en-US" w:eastAsia="ja-JP" w:bidi="ar-SA"/>
              </w:rPr>
              <w:id w:val="147457215"/>
              <w:placeholder>
                <w:docPart w:val="{4f1f68dd-ecd0-4ca7-b495-aa56d68fc3bd}"/>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一、发展基础</w:t>
              </w:r>
            </w:sdtContent>
          </w:sdt>
          <w:r>
            <w:tab/>
          </w:r>
          <w:bookmarkStart w:id="2" w:name="_Toc1741730789_WPSOffice_Level2Page"/>
          <w:r>
            <w:t>3</w:t>
          </w:r>
          <w:bookmarkEnd w:id="2"/>
          <w:r>
            <w:fldChar w:fldCharType="end"/>
          </w:r>
        </w:p>
        <w:p w14:paraId="035104D3">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_Toc918161044_WPSOffice_Level2 </w:instrText>
          </w:r>
          <w:r>
            <w:fldChar w:fldCharType="separate"/>
          </w:r>
          <w:sdt>
            <w:sdtPr>
              <w:rPr>
                <w:rFonts w:ascii="黑体" w:hAnsi="黑体" w:eastAsia="黑体" w:cstheme="majorBidi"/>
                <w:kern w:val="0"/>
                <w:sz w:val="32"/>
                <w:szCs w:val="36"/>
                <w:lang w:val="en-US" w:eastAsia="ja-JP" w:bidi="ar-SA"/>
              </w:rPr>
              <w:id w:val="147467345"/>
              <w:placeholder>
                <w:docPart w:val="{dee867cc-6404-49c9-9c30-21ed03c18116}"/>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二、发展环境</w:t>
              </w:r>
            </w:sdtContent>
          </w:sdt>
          <w:r>
            <w:tab/>
          </w:r>
          <w:bookmarkStart w:id="3" w:name="_Toc918161044_WPSOffice_Level2Page"/>
          <w:r>
            <w:t>5</w:t>
          </w:r>
          <w:bookmarkEnd w:id="3"/>
          <w:r>
            <w:fldChar w:fldCharType="end"/>
          </w:r>
        </w:p>
        <w:p w14:paraId="2620324E">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_Toc1324725924_WPSOffice_Level2 </w:instrText>
          </w:r>
          <w:r>
            <w:fldChar w:fldCharType="separate"/>
          </w:r>
          <w:sdt>
            <w:sdtPr>
              <w:rPr>
                <w:rFonts w:ascii="黑体" w:hAnsi="黑体" w:eastAsia="黑体" w:cstheme="majorBidi"/>
                <w:kern w:val="0"/>
                <w:sz w:val="32"/>
                <w:szCs w:val="36"/>
                <w:lang w:val="en-US" w:eastAsia="ja-JP" w:bidi="ar-SA"/>
              </w:rPr>
              <w:id w:val="147474856"/>
              <w:placeholder>
                <w:docPart w:val="{4f02a353-52a8-4645-a647-5cfa0d09f3ab}"/>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三、发展定位</w:t>
              </w:r>
            </w:sdtContent>
          </w:sdt>
          <w:r>
            <w:tab/>
          </w:r>
          <w:bookmarkStart w:id="4" w:name="_Toc1324725924_WPSOffice_Level2Page"/>
          <w:r>
            <w:t>7</w:t>
          </w:r>
          <w:bookmarkEnd w:id="4"/>
          <w:r>
            <w:fldChar w:fldCharType="end"/>
          </w:r>
        </w:p>
        <w:p w14:paraId="47AF4737">
          <w:pPr>
            <w:pStyle w:val="53"/>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rPr>
              <w:b/>
              <w:bCs/>
            </w:rPr>
            <w:fldChar w:fldCharType="begin"/>
          </w:r>
          <w:r>
            <w:instrText xml:space="preserve"> HYPERLINK \l _Toc1741730789_WPSOffice_Level1 </w:instrText>
          </w:r>
          <w:r>
            <w:rPr>
              <w:b/>
              <w:bCs/>
            </w:rPr>
            <w:fldChar w:fldCharType="separate"/>
          </w:r>
          <w:sdt>
            <w:sdtPr>
              <w:rPr>
                <w:rFonts w:ascii="黑体" w:hAnsi="黑体" w:eastAsia="黑体" w:cstheme="majorBidi"/>
                <w:b/>
                <w:bCs/>
                <w:kern w:val="0"/>
                <w:sz w:val="32"/>
                <w:szCs w:val="36"/>
                <w:lang w:val="en-US" w:eastAsia="ja-JP" w:bidi="ar-SA"/>
              </w:rPr>
              <w:id w:val="147477969"/>
              <w:placeholder>
                <w:docPart w:val="{4b1eb7f5-1db0-4ff3-b8ed-b2597116c10f}"/>
              </w:placeholder>
            </w:sdtPr>
            <w:sdtEndPr>
              <w:rPr>
                <w:rFonts w:ascii="黑体" w:hAnsi="黑体" w:eastAsia="黑体" w:cstheme="majorBidi"/>
                <w:b/>
                <w:bCs/>
                <w:kern w:val="0"/>
                <w:sz w:val="32"/>
                <w:szCs w:val="36"/>
                <w:lang w:val="en-US" w:eastAsia="ja-JP" w:bidi="ar-SA"/>
              </w:rPr>
            </w:sdtEndPr>
            <w:sdtContent>
              <w:r>
                <w:rPr>
                  <w:rFonts w:hint="eastAsia" w:ascii="黑体" w:hAnsi="黑体" w:eastAsia="黑体" w:cs="黑体"/>
                  <w:b/>
                  <w:bCs/>
                </w:rPr>
                <w:t>第二章  指导思想和主要目标</w:t>
              </w:r>
            </w:sdtContent>
          </w:sdt>
          <w:r>
            <w:rPr>
              <w:b/>
              <w:bCs/>
            </w:rPr>
            <w:tab/>
          </w:r>
          <w:bookmarkStart w:id="5" w:name="_Toc1741730789_WPSOffice_Level1Page"/>
          <w:r>
            <w:rPr>
              <w:b/>
              <w:bCs/>
            </w:rPr>
            <w:t>9</w:t>
          </w:r>
          <w:bookmarkEnd w:id="5"/>
          <w:r>
            <w:rPr>
              <w:b/>
              <w:bCs/>
            </w:rPr>
            <w:fldChar w:fldCharType="end"/>
          </w:r>
        </w:p>
        <w:p w14:paraId="1B5D5FB1">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_Toc1375842663_WPSOffice_Level2 </w:instrText>
          </w:r>
          <w:r>
            <w:fldChar w:fldCharType="separate"/>
          </w:r>
          <w:sdt>
            <w:sdtPr>
              <w:rPr>
                <w:rFonts w:ascii="黑体" w:hAnsi="黑体" w:eastAsia="黑体" w:cstheme="majorBidi"/>
                <w:kern w:val="0"/>
                <w:sz w:val="32"/>
                <w:szCs w:val="36"/>
                <w:lang w:val="en-US" w:eastAsia="ja-JP" w:bidi="ar-SA"/>
              </w:rPr>
              <w:id w:val="147481568"/>
              <w:placeholder>
                <w:docPart w:val="{b0a3e4fb-24c9-450a-b597-f8ea008bb2fe}"/>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一、指导思想</w:t>
              </w:r>
            </w:sdtContent>
          </w:sdt>
          <w:r>
            <w:tab/>
          </w:r>
          <w:bookmarkStart w:id="6" w:name="_Toc1375842663_WPSOffice_Level2Page"/>
          <w:r>
            <w:t>9</w:t>
          </w:r>
          <w:bookmarkEnd w:id="6"/>
          <w:r>
            <w:fldChar w:fldCharType="end"/>
          </w:r>
        </w:p>
        <w:p w14:paraId="4846AA65">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_Toc414078064_WPSOffice_Level2 </w:instrText>
          </w:r>
          <w:r>
            <w:fldChar w:fldCharType="separate"/>
          </w:r>
          <w:sdt>
            <w:sdtPr>
              <w:rPr>
                <w:rFonts w:ascii="黑体" w:hAnsi="黑体" w:eastAsia="黑体" w:cstheme="majorBidi"/>
                <w:kern w:val="0"/>
                <w:sz w:val="32"/>
                <w:szCs w:val="36"/>
                <w:lang w:val="en-US" w:eastAsia="ja-JP" w:bidi="ar-SA"/>
              </w:rPr>
              <w:id w:val="147473635"/>
              <w:placeholder>
                <w:docPart w:val="{4b28ef54-4581-4a96-a74a-8952fe47b2f6}"/>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二、基本原则</w:t>
              </w:r>
            </w:sdtContent>
          </w:sdt>
          <w:r>
            <w:tab/>
          </w:r>
          <w:bookmarkStart w:id="7" w:name="_Toc414078064_WPSOffice_Level2Page"/>
          <w:r>
            <w:t>9</w:t>
          </w:r>
          <w:bookmarkEnd w:id="7"/>
          <w:r>
            <w:fldChar w:fldCharType="end"/>
          </w:r>
        </w:p>
        <w:p w14:paraId="346C2F03">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_Toc954539329_WPSOffice_Level2 </w:instrText>
          </w:r>
          <w:r>
            <w:fldChar w:fldCharType="separate"/>
          </w:r>
          <w:sdt>
            <w:sdtPr>
              <w:rPr>
                <w:rFonts w:ascii="黑体" w:hAnsi="黑体" w:eastAsia="黑体" w:cstheme="majorBidi"/>
                <w:kern w:val="0"/>
                <w:sz w:val="32"/>
                <w:szCs w:val="36"/>
                <w:lang w:val="en-US" w:eastAsia="ja-JP" w:bidi="ar-SA"/>
              </w:rPr>
              <w:id w:val="147478488"/>
              <w:placeholder>
                <w:docPart w:val="{03eeb297-ab44-4c32-8271-aa12b9b6cb18}"/>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三、发展目标</w:t>
              </w:r>
            </w:sdtContent>
          </w:sdt>
          <w:r>
            <w:tab/>
          </w:r>
          <w:bookmarkStart w:id="8" w:name="_Toc954539329_WPSOffice_Level2Page"/>
          <w:r>
            <w:t>10</w:t>
          </w:r>
          <w:bookmarkEnd w:id="8"/>
          <w:r>
            <w:fldChar w:fldCharType="end"/>
          </w:r>
        </w:p>
        <w:p w14:paraId="19F3A105">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_Toc1910738784_WPSOffice_Level2 </w:instrText>
          </w:r>
          <w:r>
            <w:fldChar w:fldCharType="separate"/>
          </w:r>
          <w:sdt>
            <w:sdtPr>
              <w:rPr>
                <w:rFonts w:ascii="黑体" w:hAnsi="黑体" w:eastAsia="黑体" w:cstheme="majorBidi"/>
                <w:kern w:val="0"/>
                <w:sz w:val="32"/>
                <w:szCs w:val="36"/>
                <w:lang w:val="en-US" w:eastAsia="ja-JP" w:bidi="ar-SA"/>
              </w:rPr>
              <w:id w:val="147469903"/>
              <w:placeholder>
                <w:docPart w:val="{b3a62efa-a45c-447c-ac3e-d6bccf7aab8d}"/>
              </w:placeholder>
            </w:sdtPr>
            <w:sdtEndPr>
              <w:rPr>
                <w:rFonts w:ascii="黑体" w:hAnsi="黑体" w:eastAsia="黑体" w:cstheme="majorBidi"/>
                <w:kern w:val="0"/>
                <w:sz w:val="32"/>
                <w:szCs w:val="36"/>
                <w:lang w:val="en-US" w:eastAsia="ja-JP" w:bidi="ar-SA"/>
              </w:rPr>
            </w:sdtEndPr>
            <w:sdtContent>
              <w:r>
                <w:rPr>
                  <w:rFonts w:hint="eastAsia" w:ascii="仿宋_GB2312" w:hAnsi="仿宋_GB2312" w:eastAsia="仿宋_GB2312" w:cs="仿宋_GB2312"/>
                </w:rPr>
                <w:t>宁河区农业农村发展“十四五”规划指标</w:t>
              </w:r>
            </w:sdtContent>
          </w:sdt>
          <w:r>
            <w:tab/>
          </w:r>
          <w:bookmarkStart w:id="9" w:name="_Toc1910738784_WPSOffice_Level2Page"/>
          <w:r>
            <w:t>12</w:t>
          </w:r>
          <w:bookmarkEnd w:id="9"/>
          <w:r>
            <w:fldChar w:fldCharType="end"/>
          </w:r>
        </w:p>
        <w:p w14:paraId="39E8239E">
          <w:pPr>
            <w:pStyle w:val="53"/>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rPr>
              <w:b/>
              <w:bCs/>
            </w:rPr>
            <w:fldChar w:fldCharType="begin"/>
          </w:r>
          <w:r>
            <w:instrText xml:space="preserve"> HYPERLINK \l _Toc918161044_WPSOffice_Level1 </w:instrText>
          </w:r>
          <w:r>
            <w:rPr>
              <w:b/>
              <w:bCs/>
            </w:rPr>
            <w:fldChar w:fldCharType="separate"/>
          </w:r>
          <w:sdt>
            <w:sdtPr>
              <w:rPr>
                <w:rFonts w:ascii="黑体" w:hAnsi="黑体" w:eastAsia="黑体" w:cstheme="majorBidi"/>
                <w:b/>
                <w:bCs/>
                <w:kern w:val="0"/>
                <w:sz w:val="32"/>
                <w:szCs w:val="36"/>
                <w:lang w:val="en-US" w:eastAsia="ja-JP" w:bidi="ar-SA"/>
              </w:rPr>
              <w:id w:val="147482871"/>
              <w:placeholder>
                <w:docPart w:val="{27c5832c-2057-4a95-a96a-61024d2246ed}"/>
              </w:placeholder>
            </w:sdtPr>
            <w:sdtEndPr>
              <w:rPr>
                <w:rFonts w:ascii="黑体" w:hAnsi="黑体" w:eastAsia="黑体" w:cstheme="majorBidi"/>
                <w:b/>
                <w:bCs/>
                <w:kern w:val="0"/>
                <w:sz w:val="32"/>
                <w:szCs w:val="36"/>
                <w:lang w:val="en-US" w:eastAsia="ja-JP" w:bidi="ar-SA"/>
              </w:rPr>
            </w:sdtEndPr>
            <w:sdtContent>
              <w:r>
                <w:rPr>
                  <w:rFonts w:hint="eastAsia" w:ascii="黑体" w:hAnsi="黑体" w:eastAsia="黑体" w:cs="黑体"/>
                  <w:b/>
                  <w:bCs/>
                </w:rPr>
                <w:t>第三章 完善上下游产业链，推进农业现代化发展</w:t>
              </w:r>
            </w:sdtContent>
          </w:sdt>
          <w:r>
            <w:rPr>
              <w:b/>
              <w:bCs/>
            </w:rPr>
            <w:tab/>
          </w:r>
          <w:bookmarkStart w:id="10" w:name="_Toc918161044_WPSOffice_Level1Page"/>
          <w:r>
            <w:rPr>
              <w:b/>
              <w:bCs/>
            </w:rPr>
            <w:t>13</w:t>
          </w:r>
          <w:bookmarkEnd w:id="10"/>
          <w:r>
            <w:rPr>
              <w:b/>
              <w:bCs/>
            </w:rPr>
            <w:fldChar w:fldCharType="end"/>
          </w:r>
        </w:p>
        <w:p w14:paraId="2964F96B">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_Toc2081695825_WPSOffice_Level2 </w:instrText>
          </w:r>
          <w:r>
            <w:fldChar w:fldCharType="separate"/>
          </w:r>
          <w:sdt>
            <w:sdtPr>
              <w:rPr>
                <w:rFonts w:ascii="黑体" w:hAnsi="黑体" w:eastAsia="黑体" w:cstheme="majorBidi"/>
                <w:kern w:val="0"/>
                <w:sz w:val="32"/>
                <w:szCs w:val="36"/>
                <w:lang w:val="en-US" w:eastAsia="ja-JP" w:bidi="ar-SA"/>
              </w:rPr>
              <w:id w:val="147483300"/>
              <w:placeholder>
                <w:docPart w:val="{7134d17a-26a4-4ac5-87dd-3780d122ab50}"/>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一、打造五大种业产业链</w:t>
              </w:r>
            </w:sdtContent>
          </w:sdt>
          <w:r>
            <w:tab/>
          </w:r>
          <w:bookmarkStart w:id="11" w:name="_Toc2081695825_WPSOffice_Level2Page"/>
          <w:r>
            <w:t>13</w:t>
          </w:r>
          <w:bookmarkEnd w:id="11"/>
          <w:r>
            <w:fldChar w:fldCharType="end"/>
          </w:r>
        </w:p>
        <w:p w14:paraId="055EE7DE">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_Toc574051023_WPSOffice_Level2 </w:instrText>
          </w:r>
          <w:r>
            <w:fldChar w:fldCharType="separate"/>
          </w:r>
          <w:sdt>
            <w:sdtPr>
              <w:rPr>
                <w:rFonts w:ascii="黑体" w:hAnsi="黑体" w:eastAsia="黑体" w:cstheme="majorBidi"/>
                <w:kern w:val="0"/>
                <w:sz w:val="32"/>
                <w:szCs w:val="36"/>
                <w:lang w:val="en-US" w:eastAsia="ja-JP" w:bidi="ar-SA"/>
              </w:rPr>
              <w:id w:val="147475778"/>
              <w:placeholder>
                <w:docPart w:val="{91994f4f-2b9d-4b66-ab22-ea6413c460ee}"/>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二、做强十大特色农产品品牌</w:t>
              </w:r>
            </w:sdtContent>
          </w:sdt>
          <w:r>
            <w:tab/>
          </w:r>
          <w:bookmarkStart w:id="12" w:name="_Toc574051023_WPSOffice_Level2Page"/>
          <w:r>
            <w:t>20</w:t>
          </w:r>
          <w:bookmarkEnd w:id="12"/>
          <w:r>
            <w:fldChar w:fldCharType="end"/>
          </w:r>
        </w:p>
        <w:p w14:paraId="1BDA3819">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_Toc228841706_WPSOffice_Level2 </w:instrText>
          </w:r>
          <w:r>
            <w:fldChar w:fldCharType="separate"/>
          </w:r>
          <w:sdt>
            <w:sdtPr>
              <w:rPr>
                <w:rFonts w:ascii="黑体" w:hAnsi="黑体" w:eastAsia="黑体" w:cstheme="majorBidi"/>
                <w:kern w:val="0"/>
                <w:sz w:val="32"/>
                <w:szCs w:val="36"/>
                <w:lang w:val="en-US" w:eastAsia="ja-JP" w:bidi="ar-SA"/>
              </w:rPr>
              <w:id w:val="147460299"/>
              <w:placeholder>
                <w:docPart w:val="{710c2529-ed3b-4b83-8e42-8c1baf9c9406}"/>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三、做实国家级现代农业产业园</w:t>
              </w:r>
            </w:sdtContent>
          </w:sdt>
          <w:r>
            <w:tab/>
          </w:r>
          <w:bookmarkStart w:id="13" w:name="_Toc228841706_WPSOffice_Level2Page"/>
          <w:r>
            <w:t>22</w:t>
          </w:r>
          <w:bookmarkEnd w:id="13"/>
          <w:r>
            <w:fldChar w:fldCharType="end"/>
          </w:r>
        </w:p>
        <w:p w14:paraId="3AA68E5E">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_Toc18711340_WPSOffice_Level2 </w:instrText>
          </w:r>
          <w:r>
            <w:fldChar w:fldCharType="separate"/>
          </w:r>
          <w:sdt>
            <w:sdtPr>
              <w:rPr>
                <w:rFonts w:ascii="黑体" w:hAnsi="黑体" w:eastAsia="黑体" w:cstheme="majorBidi"/>
                <w:kern w:val="0"/>
                <w:sz w:val="32"/>
                <w:szCs w:val="36"/>
                <w:lang w:val="en-US" w:eastAsia="ja-JP" w:bidi="ar-SA"/>
              </w:rPr>
              <w:id w:val="147479830"/>
              <w:placeholder>
                <w:docPart w:val="{252d95dd-3c0a-4856-90df-2f0e48e7c727}"/>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四、打通终端销售渠道</w:t>
              </w:r>
            </w:sdtContent>
          </w:sdt>
          <w:r>
            <w:tab/>
          </w:r>
          <w:bookmarkStart w:id="14" w:name="_Toc18711340_WPSOffice_Level2Page"/>
          <w:r>
            <w:t>25</w:t>
          </w:r>
          <w:bookmarkEnd w:id="14"/>
          <w:r>
            <w:fldChar w:fldCharType="end"/>
          </w:r>
        </w:p>
        <w:p w14:paraId="704379E6">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_Toc172532283_WPSOffice_Level2 </w:instrText>
          </w:r>
          <w:r>
            <w:fldChar w:fldCharType="separate"/>
          </w:r>
          <w:sdt>
            <w:sdtPr>
              <w:rPr>
                <w:rFonts w:ascii="黑体" w:hAnsi="黑体" w:eastAsia="黑体" w:cstheme="majorBidi"/>
                <w:kern w:val="0"/>
                <w:sz w:val="32"/>
                <w:szCs w:val="36"/>
                <w:lang w:val="en-US" w:eastAsia="ja-JP" w:bidi="ar-SA"/>
              </w:rPr>
              <w:id w:val="147482706"/>
              <w:placeholder>
                <w:docPart w:val="{79b1ccbf-59da-457b-b70f-f0c2ca6f164a}"/>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五、推进农文旅融合发展</w:t>
              </w:r>
            </w:sdtContent>
          </w:sdt>
          <w:r>
            <w:tab/>
          </w:r>
          <w:bookmarkStart w:id="15" w:name="_Toc172532283_WPSOffice_Level2Page"/>
          <w:r>
            <w:t>27</w:t>
          </w:r>
          <w:bookmarkEnd w:id="15"/>
          <w:r>
            <w:fldChar w:fldCharType="end"/>
          </w:r>
        </w:p>
        <w:p w14:paraId="4D2C264E">
          <w:pPr>
            <w:pStyle w:val="53"/>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rPr>
              <w:b/>
              <w:bCs/>
            </w:rPr>
            <w:fldChar w:fldCharType="begin"/>
          </w:r>
          <w:r>
            <w:instrText xml:space="preserve"> HYPERLINK \l _Toc1324725924_WPSOffice_Level1 </w:instrText>
          </w:r>
          <w:r>
            <w:rPr>
              <w:b/>
              <w:bCs/>
            </w:rPr>
            <w:fldChar w:fldCharType="separate"/>
          </w:r>
          <w:sdt>
            <w:sdtPr>
              <w:rPr>
                <w:rFonts w:ascii="黑体" w:hAnsi="黑体" w:eastAsia="黑体" w:cstheme="majorBidi"/>
                <w:b/>
                <w:bCs/>
                <w:kern w:val="0"/>
                <w:sz w:val="32"/>
                <w:szCs w:val="36"/>
                <w:lang w:val="en-US" w:eastAsia="ja-JP" w:bidi="ar-SA"/>
              </w:rPr>
              <w:id w:val="147462108"/>
              <w:placeholder>
                <w:docPart w:val="{d6646549-8313-4a19-b746-4e667d236abb}"/>
              </w:placeholder>
            </w:sdtPr>
            <w:sdtEndPr>
              <w:rPr>
                <w:rFonts w:ascii="黑体" w:hAnsi="黑体" w:eastAsia="黑体" w:cstheme="majorBidi"/>
                <w:b/>
                <w:bCs/>
                <w:kern w:val="0"/>
                <w:sz w:val="32"/>
                <w:szCs w:val="36"/>
                <w:lang w:val="en-US" w:eastAsia="ja-JP" w:bidi="ar-SA"/>
              </w:rPr>
            </w:sdtEndPr>
            <w:sdtContent>
              <w:r>
                <w:rPr>
                  <w:rFonts w:hint="eastAsia" w:ascii="黑体" w:hAnsi="黑体" w:eastAsia="黑体" w:cs="黑体"/>
                  <w:b/>
                  <w:bCs/>
                </w:rPr>
                <w:t>第四章 实施美丽乡村建设，统筹城乡协调发展</w:t>
              </w:r>
            </w:sdtContent>
          </w:sdt>
          <w:r>
            <w:rPr>
              <w:b/>
              <w:bCs/>
            </w:rPr>
            <w:tab/>
          </w:r>
          <w:bookmarkStart w:id="16" w:name="_Toc1324725924_WPSOffice_Level1Page"/>
          <w:r>
            <w:rPr>
              <w:b/>
              <w:bCs/>
            </w:rPr>
            <w:t>28</w:t>
          </w:r>
          <w:bookmarkEnd w:id="16"/>
          <w:r>
            <w:rPr>
              <w:b/>
              <w:bCs/>
            </w:rPr>
            <w:fldChar w:fldCharType="end"/>
          </w:r>
        </w:p>
        <w:p w14:paraId="0C3A5D76">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_Toc1026105436_WPSOffice_Level2 </w:instrText>
          </w:r>
          <w:r>
            <w:fldChar w:fldCharType="separate"/>
          </w:r>
          <w:sdt>
            <w:sdtPr>
              <w:rPr>
                <w:rFonts w:ascii="黑体" w:hAnsi="黑体" w:eastAsia="黑体" w:cstheme="majorBidi"/>
                <w:kern w:val="0"/>
                <w:sz w:val="32"/>
                <w:szCs w:val="36"/>
                <w:lang w:val="en-US" w:eastAsia="ja-JP" w:bidi="ar-SA"/>
              </w:rPr>
              <w:id w:val="147452112"/>
              <w:placeholder>
                <w:docPart w:val="{86649eed-c750-4f98-8e2c-473e4b72d938}"/>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一、推进美丽乡村建设</w:t>
              </w:r>
            </w:sdtContent>
          </w:sdt>
          <w:r>
            <w:tab/>
          </w:r>
          <w:bookmarkStart w:id="17" w:name="_Toc1026105436_WPSOffice_Level2Page"/>
          <w:r>
            <w:t>28</w:t>
          </w:r>
          <w:bookmarkEnd w:id="17"/>
          <w:r>
            <w:fldChar w:fldCharType="end"/>
          </w:r>
        </w:p>
        <w:p w14:paraId="5234C858">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_Toc735488218_WPSOffice_Level2 </w:instrText>
          </w:r>
          <w:r>
            <w:fldChar w:fldCharType="separate"/>
          </w:r>
          <w:sdt>
            <w:sdtPr>
              <w:rPr>
                <w:rFonts w:ascii="黑体" w:hAnsi="黑体" w:eastAsia="黑体" w:cstheme="majorBidi"/>
                <w:kern w:val="0"/>
                <w:sz w:val="32"/>
                <w:szCs w:val="36"/>
                <w:lang w:val="en-US" w:eastAsia="ja-JP" w:bidi="ar-SA"/>
              </w:rPr>
              <w:id w:val="147479879"/>
              <w:placeholder>
                <w:docPart w:val="{048a9fc7-bf6d-43f8-97f9-0bd8bf840530}"/>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二、提升乡村基本公共服务水平</w:t>
              </w:r>
            </w:sdtContent>
          </w:sdt>
          <w:r>
            <w:tab/>
          </w:r>
          <w:bookmarkStart w:id="18" w:name="_Toc735488218_WPSOffice_Level2Page"/>
          <w:r>
            <w:t>29</w:t>
          </w:r>
          <w:bookmarkEnd w:id="18"/>
          <w:r>
            <w:fldChar w:fldCharType="end"/>
          </w:r>
        </w:p>
        <w:p w14:paraId="3F752D3B">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_Toc92507397_WPSOffice_Level2 </w:instrText>
          </w:r>
          <w:r>
            <w:fldChar w:fldCharType="separate"/>
          </w:r>
          <w:sdt>
            <w:sdtPr>
              <w:rPr>
                <w:rFonts w:ascii="黑体" w:hAnsi="黑体" w:eastAsia="黑体" w:cstheme="majorBidi"/>
                <w:kern w:val="0"/>
                <w:sz w:val="32"/>
                <w:szCs w:val="36"/>
                <w:lang w:val="en-US" w:eastAsia="ja-JP" w:bidi="ar-SA"/>
              </w:rPr>
              <w:id w:val="147482554"/>
              <w:placeholder>
                <w:docPart w:val="{c197c75a-2091-4524-a65d-4cf4bb1d1fc7}"/>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三、促进农业农村绿色发展</w:t>
              </w:r>
            </w:sdtContent>
          </w:sdt>
          <w:r>
            <w:tab/>
          </w:r>
          <w:bookmarkStart w:id="19" w:name="_Toc92507397_WPSOffice_Level2Page"/>
          <w:r>
            <w:t>30</w:t>
          </w:r>
          <w:bookmarkEnd w:id="19"/>
          <w:r>
            <w:fldChar w:fldCharType="end"/>
          </w:r>
        </w:p>
        <w:p w14:paraId="33642217">
          <w:pPr>
            <w:pStyle w:val="53"/>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rPr>
              <w:b/>
              <w:bCs/>
            </w:rPr>
            <w:fldChar w:fldCharType="begin"/>
          </w:r>
          <w:r>
            <w:instrText xml:space="preserve"> HYPERLINK \l _Toc1375842663_WPSOffice_Level1 </w:instrText>
          </w:r>
          <w:r>
            <w:rPr>
              <w:b/>
              <w:bCs/>
            </w:rPr>
            <w:fldChar w:fldCharType="separate"/>
          </w:r>
          <w:sdt>
            <w:sdtPr>
              <w:rPr>
                <w:rFonts w:ascii="黑体" w:hAnsi="黑体" w:eastAsia="黑体" w:cstheme="majorBidi"/>
                <w:b/>
                <w:bCs/>
                <w:kern w:val="0"/>
                <w:sz w:val="32"/>
                <w:szCs w:val="36"/>
                <w:lang w:val="en-US" w:eastAsia="ja-JP" w:bidi="ar-SA"/>
              </w:rPr>
              <w:id w:val="147453807"/>
              <w:placeholder>
                <w:docPart w:val="{ab060550-014f-4aec-8bc6-be96c2fdaa13}"/>
              </w:placeholder>
            </w:sdtPr>
            <w:sdtEndPr>
              <w:rPr>
                <w:rFonts w:ascii="黑体" w:hAnsi="黑体" w:eastAsia="黑体" w:cstheme="majorBidi"/>
                <w:b/>
                <w:bCs/>
                <w:kern w:val="0"/>
                <w:sz w:val="32"/>
                <w:szCs w:val="36"/>
                <w:lang w:val="en-US" w:eastAsia="ja-JP" w:bidi="ar-SA"/>
              </w:rPr>
            </w:sdtEndPr>
            <w:sdtContent>
              <w:r>
                <w:rPr>
                  <w:rFonts w:hint="eastAsia" w:ascii="黑体" w:hAnsi="黑体" w:eastAsia="黑体" w:cs="黑体"/>
                  <w:b/>
                  <w:bCs/>
                </w:rPr>
                <w:t>第五章 完善治理体系建设，实现乡村治理现代化</w:t>
              </w:r>
            </w:sdtContent>
          </w:sdt>
          <w:r>
            <w:rPr>
              <w:b/>
              <w:bCs/>
            </w:rPr>
            <w:tab/>
          </w:r>
          <w:bookmarkStart w:id="20" w:name="_Toc1375842663_WPSOffice_Level1Page"/>
          <w:r>
            <w:rPr>
              <w:b/>
              <w:bCs/>
            </w:rPr>
            <w:t>31</w:t>
          </w:r>
          <w:bookmarkEnd w:id="20"/>
          <w:r>
            <w:rPr>
              <w:b/>
              <w:bCs/>
            </w:rPr>
            <w:fldChar w:fldCharType="end"/>
          </w:r>
        </w:p>
        <w:p w14:paraId="1DF09674">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_Toc1970966416_WPSOffice_Level2 </w:instrText>
          </w:r>
          <w:r>
            <w:fldChar w:fldCharType="separate"/>
          </w:r>
          <w:sdt>
            <w:sdtPr>
              <w:rPr>
                <w:rFonts w:ascii="黑体" w:hAnsi="黑体" w:eastAsia="黑体" w:cstheme="majorBidi"/>
                <w:kern w:val="0"/>
                <w:sz w:val="32"/>
                <w:szCs w:val="36"/>
                <w:lang w:val="en-US" w:eastAsia="ja-JP" w:bidi="ar-SA"/>
              </w:rPr>
              <w:id w:val="147464057"/>
              <w:placeholder>
                <w:docPart w:val="{af96d871-fba6-43ce-bf81-81c5214fe679}"/>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一、构建基层乡村治理体系</w:t>
              </w:r>
            </w:sdtContent>
          </w:sdt>
          <w:r>
            <w:tab/>
          </w:r>
          <w:bookmarkStart w:id="21" w:name="_Toc1970966416_WPSOffice_Level2Page"/>
          <w:r>
            <w:t>31</w:t>
          </w:r>
          <w:bookmarkEnd w:id="21"/>
          <w:r>
            <w:fldChar w:fldCharType="end"/>
          </w:r>
        </w:p>
        <w:p w14:paraId="0DF83C32">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_Toc490727890_WPSOffice_Level2 </w:instrText>
          </w:r>
          <w:r>
            <w:fldChar w:fldCharType="separate"/>
          </w:r>
          <w:sdt>
            <w:sdtPr>
              <w:rPr>
                <w:rFonts w:ascii="黑体" w:hAnsi="黑体" w:eastAsia="黑体" w:cstheme="majorBidi"/>
                <w:kern w:val="0"/>
                <w:sz w:val="32"/>
                <w:szCs w:val="36"/>
                <w:lang w:val="en-US" w:eastAsia="ja-JP" w:bidi="ar-SA"/>
              </w:rPr>
              <w:id w:val="147469550"/>
              <w:placeholder>
                <w:docPart w:val="{e78bfbe1-4792-4d13-aff9-4f0b828db9ed}"/>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二、加强基层党组织建设</w:t>
              </w:r>
            </w:sdtContent>
          </w:sdt>
          <w:r>
            <w:tab/>
          </w:r>
          <w:bookmarkStart w:id="22" w:name="_Toc490727890_WPSOffice_Level2Page"/>
          <w:r>
            <w:t>33</w:t>
          </w:r>
          <w:bookmarkEnd w:id="22"/>
          <w:r>
            <w:fldChar w:fldCharType="end"/>
          </w:r>
        </w:p>
        <w:p w14:paraId="0CB02000">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_Toc1101229928_WPSOffice_Level2 </w:instrText>
          </w:r>
          <w:r>
            <w:fldChar w:fldCharType="separate"/>
          </w:r>
          <w:sdt>
            <w:sdtPr>
              <w:rPr>
                <w:rFonts w:ascii="黑体" w:hAnsi="黑体" w:eastAsia="黑体" w:cstheme="majorBidi"/>
                <w:kern w:val="0"/>
                <w:sz w:val="32"/>
                <w:szCs w:val="36"/>
                <w:lang w:val="en-US" w:eastAsia="ja-JP" w:bidi="ar-SA"/>
              </w:rPr>
              <w:id w:val="147477157"/>
              <w:placeholder>
                <w:docPart w:val="{4bd1ad6d-a155-4ea1-88da-9b4400cb914f}"/>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三、加强精神文明建设</w:t>
              </w:r>
            </w:sdtContent>
          </w:sdt>
          <w:r>
            <w:tab/>
          </w:r>
          <w:bookmarkStart w:id="23" w:name="_Toc1101229928_WPSOffice_Level2Page"/>
          <w:r>
            <w:t>34</w:t>
          </w:r>
          <w:bookmarkEnd w:id="23"/>
          <w:r>
            <w:fldChar w:fldCharType="end"/>
          </w:r>
        </w:p>
        <w:p w14:paraId="068206F8">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_Toc2078704143_WPSOffice_Level2 </w:instrText>
          </w:r>
          <w:r>
            <w:fldChar w:fldCharType="separate"/>
          </w:r>
          <w:sdt>
            <w:sdtPr>
              <w:rPr>
                <w:rFonts w:ascii="黑体" w:hAnsi="黑体" w:eastAsia="黑体" w:cstheme="majorBidi"/>
                <w:kern w:val="0"/>
                <w:sz w:val="32"/>
                <w:szCs w:val="36"/>
                <w:lang w:val="en-US" w:eastAsia="ja-JP" w:bidi="ar-SA"/>
              </w:rPr>
              <w:id w:val="147458765"/>
              <w:placeholder>
                <w:docPart w:val="{182f5e0c-64ac-40f3-9da2-2ac36a3375fa}"/>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四、深化基层平安建设</w:t>
              </w:r>
            </w:sdtContent>
          </w:sdt>
          <w:r>
            <w:tab/>
          </w:r>
          <w:bookmarkStart w:id="24" w:name="_Toc2078704143_WPSOffice_Level2Page"/>
          <w:r>
            <w:t>35</w:t>
          </w:r>
          <w:bookmarkEnd w:id="24"/>
          <w:r>
            <w:fldChar w:fldCharType="end"/>
          </w:r>
        </w:p>
        <w:p w14:paraId="345F0075">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_Toc226513388_WPSOffice_Level2 </w:instrText>
          </w:r>
          <w:r>
            <w:fldChar w:fldCharType="separate"/>
          </w:r>
          <w:sdt>
            <w:sdtPr>
              <w:rPr>
                <w:rFonts w:ascii="黑体" w:hAnsi="黑体" w:eastAsia="黑体" w:cstheme="majorBidi"/>
                <w:kern w:val="0"/>
                <w:sz w:val="32"/>
                <w:szCs w:val="36"/>
                <w:lang w:val="en-US" w:eastAsia="ja-JP" w:bidi="ar-SA"/>
              </w:rPr>
              <w:id w:val="147483577"/>
              <w:placeholder>
                <w:docPart w:val="{95eeb6c1-2947-4b67-af98-429cfb2ce072}"/>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五、推进数字乡村建设</w:t>
              </w:r>
            </w:sdtContent>
          </w:sdt>
          <w:r>
            <w:tab/>
          </w:r>
          <w:bookmarkStart w:id="25" w:name="_Toc226513388_WPSOffice_Level2Page"/>
          <w:r>
            <w:t>36</w:t>
          </w:r>
          <w:bookmarkEnd w:id="25"/>
          <w:r>
            <w:fldChar w:fldCharType="end"/>
          </w:r>
        </w:p>
        <w:p w14:paraId="683B2867">
          <w:pPr>
            <w:pStyle w:val="53"/>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rPr>
              <w:b/>
              <w:bCs/>
            </w:rPr>
            <w:fldChar w:fldCharType="begin"/>
          </w:r>
          <w:r>
            <w:instrText xml:space="preserve"> HYPERLINK \l _Toc414078064_WPSOffice_Level1 </w:instrText>
          </w:r>
          <w:r>
            <w:rPr>
              <w:b/>
              <w:bCs/>
            </w:rPr>
            <w:fldChar w:fldCharType="separate"/>
          </w:r>
          <w:sdt>
            <w:sdtPr>
              <w:rPr>
                <w:rFonts w:ascii="黑体" w:hAnsi="黑体" w:eastAsia="黑体" w:cstheme="majorBidi"/>
                <w:b/>
                <w:bCs/>
                <w:kern w:val="0"/>
                <w:sz w:val="32"/>
                <w:szCs w:val="36"/>
                <w:lang w:val="en-US" w:eastAsia="ja-JP" w:bidi="ar-SA"/>
              </w:rPr>
              <w:id w:val="147469534"/>
              <w:placeholder>
                <w:docPart w:val="{ca1ff0fa-e89e-465c-8f53-f3123c4b0b55}"/>
              </w:placeholder>
            </w:sdtPr>
            <w:sdtEndPr>
              <w:rPr>
                <w:rFonts w:ascii="黑体" w:hAnsi="黑体" w:eastAsia="黑体" w:cstheme="majorBidi"/>
                <w:b/>
                <w:bCs/>
                <w:kern w:val="0"/>
                <w:sz w:val="32"/>
                <w:szCs w:val="36"/>
                <w:lang w:val="en-US" w:eastAsia="ja-JP" w:bidi="ar-SA"/>
              </w:rPr>
            </w:sdtEndPr>
            <w:sdtContent>
              <w:r>
                <w:rPr>
                  <w:rFonts w:hint="eastAsia" w:ascii="黑体" w:hAnsi="黑体" w:eastAsia="黑体" w:cs="黑体"/>
                  <w:b/>
                  <w:bCs/>
                </w:rPr>
                <w:t>第六章 拓展增收渠道，实现农民共同富裕</w:t>
              </w:r>
            </w:sdtContent>
          </w:sdt>
          <w:r>
            <w:rPr>
              <w:b/>
              <w:bCs/>
            </w:rPr>
            <w:tab/>
          </w:r>
          <w:bookmarkStart w:id="26" w:name="_Toc414078064_WPSOffice_Level1Page"/>
          <w:r>
            <w:rPr>
              <w:b/>
              <w:bCs/>
            </w:rPr>
            <w:t>37</w:t>
          </w:r>
          <w:bookmarkEnd w:id="26"/>
          <w:r>
            <w:rPr>
              <w:b/>
              <w:bCs/>
            </w:rPr>
            <w:fldChar w:fldCharType="end"/>
          </w:r>
        </w:p>
        <w:p w14:paraId="4F982D01">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_Toc1349359338_WPSOffice_Level2 </w:instrText>
          </w:r>
          <w:r>
            <w:fldChar w:fldCharType="separate"/>
          </w:r>
          <w:sdt>
            <w:sdtPr>
              <w:rPr>
                <w:rFonts w:ascii="黑体" w:hAnsi="黑体" w:eastAsia="黑体" w:cstheme="majorBidi"/>
                <w:kern w:val="0"/>
                <w:sz w:val="32"/>
                <w:szCs w:val="36"/>
                <w:lang w:val="en-US" w:eastAsia="ja-JP" w:bidi="ar-SA"/>
              </w:rPr>
              <w:id w:val="147471750"/>
              <w:placeholder>
                <w:docPart w:val="{63751a53-4b5b-487f-bf5e-e84c92f7369f}"/>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一、深化农村改革</w:t>
              </w:r>
            </w:sdtContent>
          </w:sdt>
          <w:r>
            <w:tab/>
          </w:r>
          <w:bookmarkStart w:id="27" w:name="_Toc1349359338_WPSOffice_Level2Page"/>
          <w:r>
            <w:t>37</w:t>
          </w:r>
          <w:bookmarkEnd w:id="27"/>
          <w:r>
            <w:fldChar w:fldCharType="end"/>
          </w:r>
        </w:p>
        <w:p w14:paraId="7232F1B0">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_Toc1420887937_WPSOffice_Level2 </w:instrText>
          </w:r>
          <w:r>
            <w:fldChar w:fldCharType="separate"/>
          </w:r>
          <w:sdt>
            <w:sdtPr>
              <w:rPr>
                <w:rFonts w:ascii="黑体" w:hAnsi="黑体" w:eastAsia="黑体" w:cstheme="majorBidi"/>
                <w:kern w:val="0"/>
                <w:sz w:val="32"/>
                <w:szCs w:val="36"/>
                <w:lang w:val="en-US" w:eastAsia="ja-JP" w:bidi="ar-SA"/>
              </w:rPr>
              <w:id w:val="147472341"/>
              <w:placeholder>
                <w:docPart w:val="{95228a47-0cc9-47ac-9f6c-63ad4ddc17d9}"/>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二、促进农民增收</w:t>
              </w:r>
            </w:sdtContent>
          </w:sdt>
          <w:r>
            <w:tab/>
          </w:r>
          <w:bookmarkStart w:id="28" w:name="_Toc1420887937_WPSOffice_Level2Page"/>
          <w:r>
            <w:t>40</w:t>
          </w:r>
          <w:bookmarkEnd w:id="28"/>
          <w:r>
            <w:fldChar w:fldCharType="end"/>
          </w:r>
        </w:p>
        <w:p w14:paraId="4D3B9C92">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_Toc803645343_WPSOffice_Level2 </w:instrText>
          </w:r>
          <w:r>
            <w:fldChar w:fldCharType="separate"/>
          </w:r>
          <w:sdt>
            <w:sdtPr>
              <w:rPr>
                <w:rFonts w:ascii="黑体" w:hAnsi="黑体" w:eastAsia="黑体" w:cstheme="majorBidi"/>
                <w:kern w:val="0"/>
                <w:sz w:val="32"/>
                <w:szCs w:val="36"/>
                <w:lang w:val="en-US" w:eastAsia="ja-JP" w:bidi="ar-SA"/>
              </w:rPr>
              <w:id w:val="147475048"/>
              <w:placeholder>
                <w:docPart w:val="{9a227344-7faf-471f-aa8f-43d442c1bcd9}"/>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三、实施积极的农民就业服务</w:t>
              </w:r>
            </w:sdtContent>
          </w:sdt>
          <w:r>
            <w:tab/>
          </w:r>
          <w:bookmarkStart w:id="29" w:name="_Toc803645343_WPSOffice_Level2Page"/>
          <w:r>
            <w:t>40</w:t>
          </w:r>
          <w:bookmarkEnd w:id="29"/>
          <w:r>
            <w:fldChar w:fldCharType="end"/>
          </w:r>
        </w:p>
        <w:p w14:paraId="2FB9AC58">
          <w:pPr>
            <w:pStyle w:val="53"/>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rPr>
              <w:b/>
              <w:bCs/>
            </w:rPr>
            <w:fldChar w:fldCharType="begin"/>
          </w:r>
          <w:r>
            <w:instrText xml:space="preserve"> HYPERLINK \l _Toc954539329_WPSOffice_Level1 </w:instrText>
          </w:r>
          <w:r>
            <w:rPr>
              <w:b/>
              <w:bCs/>
            </w:rPr>
            <w:fldChar w:fldCharType="separate"/>
          </w:r>
          <w:sdt>
            <w:sdtPr>
              <w:rPr>
                <w:rFonts w:ascii="黑体" w:hAnsi="黑体" w:eastAsia="黑体" w:cstheme="majorBidi"/>
                <w:b/>
                <w:bCs/>
                <w:kern w:val="0"/>
                <w:sz w:val="32"/>
                <w:szCs w:val="36"/>
                <w:lang w:val="en-US" w:eastAsia="ja-JP" w:bidi="ar-SA"/>
              </w:rPr>
              <w:id w:val="147456829"/>
              <w:placeholder>
                <w:docPart w:val="{a1680f27-bef2-43a5-af5a-3060dd226ee2}"/>
              </w:placeholder>
            </w:sdtPr>
            <w:sdtEndPr>
              <w:rPr>
                <w:rFonts w:ascii="黑体" w:hAnsi="黑体" w:eastAsia="黑体" w:cstheme="majorBidi"/>
                <w:b/>
                <w:bCs/>
                <w:kern w:val="0"/>
                <w:sz w:val="32"/>
                <w:szCs w:val="36"/>
                <w:lang w:val="en-US" w:eastAsia="ja-JP" w:bidi="ar-SA"/>
              </w:rPr>
            </w:sdtEndPr>
            <w:sdtContent>
              <w:r>
                <w:rPr>
                  <w:rFonts w:hint="eastAsia" w:ascii="黑体" w:hAnsi="黑体" w:eastAsia="黑体" w:cs="黑体"/>
                  <w:b/>
                  <w:bCs/>
                </w:rPr>
                <w:t>第七章 强化实施保障，确保农业农村规划落实</w:t>
              </w:r>
            </w:sdtContent>
          </w:sdt>
          <w:r>
            <w:rPr>
              <w:b/>
              <w:bCs/>
            </w:rPr>
            <w:tab/>
          </w:r>
          <w:bookmarkStart w:id="30" w:name="_Toc954539329_WPSOffice_Level1Page"/>
          <w:r>
            <w:rPr>
              <w:b/>
              <w:bCs/>
            </w:rPr>
            <w:t>42</w:t>
          </w:r>
          <w:bookmarkEnd w:id="30"/>
          <w:r>
            <w:rPr>
              <w:b/>
              <w:bCs/>
            </w:rPr>
            <w:fldChar w:fldCharType="end"/>
          </w:r>
        </w:p>
        <w:p w14:paraId="5C0F18C5">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_Toc471080763_WPSOffice_Level2 </w:instrText>
          </w:r>
          <w:r>
            <w:fldChar w:fldCharType="separate"/>
          </w:r>
          <w:sdt>
            <w:sdtPr>
              <w:rPr>
                <w:rFonts w:ascii="黑体" w:hAnsi="黑体" w:eastAsia="黑体" w:cstheme="majorBidi"/>
                <w:kern w:val="0"/>
                <w:sz w:val="32"/>
                <w:szCs w:val="36"/>
                <w:lang w:val="en-US" w:eastAsia="ja-JP" w:bidi="ar-SA"/>
              </w:rPr>
              <w:id w:val="147482592"/>
              <w:placeholder>
                <w:docPart w:val="{20f81260-bc2e-40d2-9122-54166fc0c12c}"/>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一、编制专项规划</w:t>
              </w:r>
            </w:sdtContent>
          </w:sdt>
          <w:r>
            <w:tab/>
          </w:r>
          <w:bookmarkStart w:id="31" w:name="_Toc471080763_WPSOffice_Level2Page"/>
          <w:r>
            <w:t>42</w:t>
          </w:r>
          <w:bookmarkEnd w:id="31"/>
          <w:r>
            <w:fldChar w:fldCharType="end"/>
          </w:r>
        </w:p>
        <w:p w14:paraId="7F183B46">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_Toc1236010973_WPSOffice_Level2 </w:instrText>
          </w:r>
          <w:r>
            <w:fldChar w:fldCharType="separate"/>
          </w:r>
          <w:sdt>
            <w:sdtPr>
              <w:rPr>
                <w:rFonts w:ascii="黑体" w:hAnsi="黑体" w:eastAsia="黑体" w:cstheme="majorBidi"/>
                <w:kern w:val="0"/>
                <w:sz w:val="32"/>
                <w:szCs w:val="36"/>
                <w:lang w:val="en-US" w:eastAsia="ja-JP" w:bidi="ar-SA"/>
              </w:rPr>
              <w:id w:val="147456550"/>
              <w:placeholder>
                <w:docPart w:val="{59a2e0b1-6196-4158-bd23-4c11f7391d52}"/>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二、加强组织领导</w:t>
              </w:r>
            </w:sdtContent>
          </w:sdt>
          <w:r>
            <w:tab/>
          </w:r>
          <w:bookmarkStart w:id="32" w:name="_Toc1236010973_WPSOffice_Level2Page"/>
          <w:r>
            <w:t>42</w:t>
          </w:r>
          <w:bookmarkEnd w:id="32"/>
          <w:r>
            <w:fldChar w:fldCharType="end"/>
          </w:r>
        </w:p>
        <w:p w14:paraId="3900F497">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_Toc2144205702_WPSOffice_Level2 </w:instrText>
          </w:r>
          <w:r>
            <w:fldChar w:fldCharType="separate"/>
          </w:r>
          <w:sdt>
            <w:sdtPr>
              <w:rPr>
                <w:rFonts w:ascii="黑体" w:hAnsi="黑体" w:eastAsia="黑体" w:cstheme="majorBidi"/>
                <w:kern w:val="0"/>
                <w:sz w:val="32"/>
                <w:szCs w:val="36"/>
                <w:lang w:val="en-US" w:eastAsia="ja-JP" w:bidi="ar-SA"/>
              </w:rPr>
              <w:id w:val="147470868"/>
              <w:placeholder>
                <w:docPart w:val="{c0ada4e6-50a2-49f6-956e-a45158ad5a17}"/>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三、建立任务台账</w:t>
              </w:r>
            </w:sdtContent>
          </w:sdt>
          <w:r>
            <w:tab/>
          </w:r>
          <w:bookmarkStart w:id="33" w:name="_Toc2144205702_WPSOffice_Level2Page"/>
          <w:r>
            <w:t>42</w:t>
          </w:r>
          <w:bookmarkEnd w:id="33"/>
          <w:r>
            <w:fldChar w:fldCharType="end"/>
          </w:r>
        </w:p>
        <w:p w14:paraId="16537DB1">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_Toc343739976_WPSOffice_Level2 </w:instrText>
          </w:r>
          <w:r>
            <w:fldChar w:fldCharType="separate"/>
          </w:r>
          <w:sdt>
            <w:sdtPr>
              <w:rPr>
                <w:rFonts w:ascii="黑体" w:hAnsi="黑体" w:eastAsia="黑体" w:cstheme="majorBidi"/>
                <w:kern w:val="0"/>
                <w:sz w:val="32"/>
                <w:szCs w:val="36"/>
                <w:lang w:val="en-US" w:eastAsia="ja-JP" w:bidi="ar-SA"/>
              </w:rPr>
              <w:id w:val="147464216"/>
              <w:placeholder>
                <w:docPart w:val="{ac51282f-dbec-4b6a-8384-8f20dc659747}"/>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四、强化资金保障</w:t>
              </w:r>
            </w:sdtContent>
          </w:sdt>
          <w:r>
            <w:tab/>
          </w:r>
          <w:bookmarkStart w:id="34" w:name="_Toc343739976_WPSOffice_Level2Page"/>
          <w:r>
            <w:t>43</w:t>
          </w:r>
          <w:bookmarkEnd w:id="34"/>
          <w:r>
            <w:fldChar w:fldCharType="end"/>
          </w:r>
        </w:p>
        <w:p w14:paraId="01CB2EB9">
          <w:pPr>
            <w:pStyle w:val="54"/>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pPr>
          <w:r>
            <w:fldChar w:fldCharType="begin"/>
          </w:r>
          <w:r>
            <w:instrText xml:space="preserve"> HYPERLINK \l _Toc1727416897_WPSOffice_Level2 </w:instrText>
          </w:r>
          <w:r>
            <w:fldChar w:fldCharType="separate"/>
          </w:r>
          <w:sdt>
            <w:sdtPr>
              <w:rPr>
                <w:rFonts w:ascii="黑体" w:hAnsi="黑体" w:eastAsia="黑体" w:cstheme="majorBidi"/>
                <w:kern w:val="0"/>
                <w:sz w:val="32"/>
                <w:szCs w:val="36"/>
                <w:lang w:val="en-US" w:eastAsia="ja-JP" w:bidi="ar-SA"/>
              </w:rPr>
              <w:id w:val="147463800"/>
              <w:placeholder>
                <w:docPart w:val="{e77f62ab-1911-4253-89ac-39e8e8d8e1ef}"/>
              </w:placeholder>
            </w:sdtPr>
            <w:sdtEndPr>
              <w:rPr>
                <w:rFonts w:ascii="黑体" w:hAnsi="黑体" w:eastAsia="黑体" w:cstheme="majorBidi"/>
                <w:kern w:val="0"/>
                <w:sz w:val="32"/>
                <w:szCs w:val="36"/>
                <w:lang w:val="en-US" w:eastAsia="ja-JP" w:bidi="ar-SA"/>
              </w:rPr>
            </w:sdtEndPr>
            <w:sdtContent>
              <w:r>
                <w:rPr>
                  <w:rFonts w:hint="eastAsia" w:ascii="黑体" w:hAnsi="黑体" w:eastAsia="黑体" w:cs="黑体"/>
                </w:rPr>
                <w:t>五、强化考核激励</w:t>
              </w:r>
            </w:sdtContent>
          </w:sdt>
          <w:r>
            <w:tab/>
          </w:r>
          <w:bookmarkStart w:id="35" w:name="_Toc1727416897_WPSOffice_Level2Page"/>
          <w:r>
            <w:t>43</w:t>
          </w:r>
          <w:bookmarkEnd w:id="35"/>
          <w:r>
            <w:fldChar w:fldCharType="end"/>
          </w:r>
          <w:bookmarkEnd w:id="0"/>
        </w:p>
      </w:sdtContent>
    </w:sdt>
    <w:p w14:paraId="79DDB31B">
      <w:pPr>
        <w:pStyle w:val="3"/>
        <w:pageBreakBefore w:val="0"/>
        <w:kinsoku/>
        <w:wordWrap/>
        <w:topLinePunct w:val="0"/>
        <w:autoSpaceDE/>
        <w:autoSpaceDN/>
        <w:bidi w:val="0"/>
        <w:spacing w:line="560" w:lineRule="exact"/>
        <w:jc w:val="center"/>
        <w:rPr>
          <w:rFonts w:hint="eastAsia" w:ascii="黑体" w:hAnsi="黑体" w:eastAsia="黑体" w:cs="黑体"/>
          <w:sz w:val="32"/>
          <w:szCs w:val="32"/>
          <w:lang w:eastAsia="zh-CN"/>
        </w:rPr>
      </w:pPr>
      <w:bookmarkStart w:id="36" w:name="_Toc11693_WPSOffice_Level1"/>
      <w:bookmarkStart w:id="37" w:name="_Toc1598063320_WPSOffice_Level1"/>
      <w:r>
        <w:rPr>
          <w:rFonts w:hint="eastAsia" w:ascii="黑体" w:hAnsi="黑体" w:eastAsia="黑体" w:cs="黑体"/>
          <w:sz w:val="32"/>
          <w:szCs w:val="32"/>
        </w:rPr>
        <w:t>第一章 全面落实乡村振兴战略，</w:t>
      </w:r>
      <w:r>
        <w:rPr>
          <w:rFonts w:hint="eastAsia" w:ascii="黑体" w:hAnsi="黑体" w:eastAsia="黑体" w:cs="黑体"/>
          <w:sz w:val="32"/>
          <w:szCs w:val="32"/>
          <w:lang w:eastAsia="zh-CN"/>
        </w:rPr>
        <w:t>夯实</w:t>
      </w:r>
      <w:r>
        <w:rPr>
          <w:rFonts w:hint="eastAsia" w:ascii="黑体" w:hAnsi="黑体" w:eastAsia="黑体" w:cs="黑体"/>
          <w:sz w:val="32"/>
          <w:szCs w:val="32"/>
        </w:rPr>
        <w:t>农业农村</w:t>
      </w:r>
      <w:bookmarkEnd w:id="36"/>
      <w:r>
        <w:rPr>
          <w:rFonts w:hint="eastAsia" w:ascii="黑体" w:hAnsi="黑体" w:eastAsia="黑体" w:cs="黑体"/>
          <w:sz w:val="32"/>
          <w:szCs w:val="32"/>
          <w:lang w:eastAsia="zh-CN"/>
        </w:rPr>
        <w:t>发展基础</w:t>
      </w:r>
      <w:bookmarkEnd w:id="37"/>
    </w:p>
    <w:p w14:paraId="43E40EF8">
      <w:pPr>
        <w:pStyle w:val="42"/>
        <w:pageBreakBefore w:val="0"/>
        <w:kinsoku/>
        <w:wordWrap/>
        <w:topLinePunct w:val="0"/>
        <w:autoSpaceDE/>
        <w:autoSpaceDN/>
        <w:bidi w:val="0"/>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河区辖区面积1296平方千米，2020年末实有耕地面积64.21万亩。下辖13镇，2个街道办事处，270个行政村，规划保留村248个，户籍人口41.07万人，其中农村人口28万人。宁河区地处环渤海经济区核心位置，是环渤海经济圈和首都经济圈的重要节点，自古就是“鱼米之乡”“富庶之地”，具有年代久远的农耕文化历史，良好的种养殖业发展传统优势，是天津市传统农业大区，民风朴实，生活安逸。“十三五”期间，宁河区委、区政府深入践行“两山”理念，统筹“三生”布局，营造“大水大绿大美”生态环境，在农业农村现代化发展建设中取得重大进展，为全面落实乡村振兴战略奠定了良好基础。</w:t>
      </w:r>
    </w:p>
    <w:p w14:paraId="70771CD8">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38" w:name="_Toc24463"/>
      <w:bookmarkStart w:id="39" w:name="_Toc8694"/>
      <w:bookmarkStart w:id="40" w:name="_Toc26804"/>
      <w:bookmarkStart w:id="41" w:name="_Toc474"/>
      <w:bookmarkStart w:id="42" w:name="_Toc1627"/>
      <w:bookmarkStart w:id="43" w:name="_Toc4317"/>
      <w:bookmarkStart w:id="44" w:name="_Toc24570"/>
      <w:bookmarkStart w:id="45" w:name="_Toc2833"/>
      <w:bookmarkStart w:id="46" w:name="_Toc1323"/>
      <w:bookmarkStart w:id="47" w:name="_Toc312"/>
      <w:bookmarkStart w:id="48" w:name="_Toc27189"/>
      <w:bookmarkStart w:id="49" w:name="_Toc866"/>
      <w:bookmarkStart w:id="50" w:name="_Toc25911"/>
      <w:bookmarkStart w:id="51" w:name="_Toc9210"/>
      <w:bookmarkStart w:id="52" w:name="_Toc22501"/>
      <w:bookmarkStart w:id="53" w:name="_Toc13975"/>
      <w:bookmarkStart w:id="54" w:name="_Toc1303"/>
      <w:bookmarkStart w:id="55" w:name="_Toc5748"/>
      <w:bookmarkStart w:id="56" w:name="_Toc922"/>
      <w:bookmarkStart w:id="57" w:name="_Toc30692"/>
      <w:bookmarkStart w:id="58" w:name="_Toc26024"/>
      <w:bookmarkStart w:id="59" w:name="_Toc8812"/>
      <w:bookmarkStart w:id="60" w:name="_Toc6154_WPSOffice_Level2"/>
      <w:bookmarkStart w:id="61" w:name="_Toc16211"/>
      <w:bookmarkStart w:id="62" w:name="_Toc8484"/>
      <w:bookmarkStart w:id="63" w:name="_Toc20319"/>
      <w:bookmarkStart w:id="64" w:name="_Toc104110329"/>
      <w:bookmarkStart w:id="65" w:name="_Toc14821"/>
      <w:bookmarkStart w:id="66" w:name="_Toc6606"/>
      <w:bookmarkStart w:id="67" w:name="_Toc3987"/>
      <w:bookmarkStart w:id="68" w:name="_Toc5198"/>
      <w:bookmarkStart w:id="69" w:name="_Toc14599"/>
      <w:bookmarkStart w:id="70" w:name="_Toc15060"/>
      <w:bookmarkStart w:id="71" w:name="_Toc25581"/>
      <w:bookmarkStart w:id="72" w:name="_Toc2022"/>
      <w:bookmarkStart w:id="73" w:name="_Toc15952"/>
      <w:bookmarkStart w:id="74" w:name="_Toc7825"/>
      <w:bookmarkStart w:id="75" w:name="_Toc7683"/>
      <w:bookmarkStart w:id="76" w:name="_Toc22642"/>
      <w:bookmarkStart w:id="77" w:name="_Toc29618"/>
      <w:bookmarkStart w:id="78" w:name="_Toc29142"/>
      <w:bookmarkStart w:id="79" w:name="_Toc12631"/>
      <w:bookmarkStart w:id="80" w:name="_Toc5989"/>
      <w:bookmarkStart w:id="81" w:name="_Toc27720"/>
      <w:bookmarkStart w:id="82" w:name="_Toc24107"/>
      <w:bookmarkStart w:id="83" w:name="_Toc28640"/>
      <w:bookmarkStart w:id="84" w:name="_Toc72698284"/>
      <w:bookmarkStart w:id="85" w:name="_Toc122078284"/>
      <w:bookmarkStart w:id="86" w:name="_Toc12956"/>
      <w:bookmarkStart w:id="87" w:name="_Toc1741730789_WPSOffice_Level2"/>
      <w:bookmarkStart w:id="88" w:name="_Toc11498"/>
      <w:bookmarkStart w:id="89" w:name="_Toc25717"/>
      <w:bookmarkStart w:id="90" w:name="_Toc1127"/>
      <w:bookmarkStart w:id="91" w:name="_Toc26108"/>
      <w:bookmarkStart w:id="92" w:name="_Toc3598"/>
      <w:bookmarkStart w:id="93" w:name="_Toc12340528"/>
      <w:r>
        <w:rPr>
          <w:rFonts w:hint="eastAsia" w:ascii="黑体" w:hAnsi="黑体" w:eastAsia="黑体" w:cs="黑体"/>
          <w:b w:val="0"/>
          <w:bCs/>
          <w:sz w:val="32"/>
          <w:szCs w:val="32"/>
        </w:rPr>
        <w:t>一、发展基础</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bookmarkEnd w:id="93"/>
    <w:p w14:paraId="1DD98901">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94" w:name="_Toc30425"/>
      <w:bookmarkStart w:id="95" w:name="_Toc14811"/>
      <w:r>
        <w:rPr>
          <w:rFonts w:hint="eastAsia" w:ascii="楷体" w:hAnsi="楷体" w:eastAsia="楷体" w:cs="楷体"/>
          <w:b w:val="0"/>
          <w:bCs/>
          <w:sz w:val="32"/>
          <w:szCs w:val="32"/>
        </w:rPr>
        <w:t>（一）合理调整结构布局，促进现代农业规模发展</w:t>
      </w:r>
      <w:bookmarkEnd w:id="94"/>
      <w:bookmarkEnd w:id="95"/>
      <w:r>
        <w:rPr>
          <w:rFonts w:hint="eastAsia" w:ascii="楷体" w:hAnsi="楷体" w:eastAsia="楷体" w:cs="楷体"/>
          <w:b w:val="0"/>
          <w:bCs/>
          <w:sz w:val="32"/>
          <w:szCs w:val="32"/>
        </w:rPr>
        <w:t>。</w:t>
      </w:r>
      <w:r>
        <w:rPr>
          <w:rFonts w:hint="eastAsia" w:ascii="仿宋_GB2312" w:hAnsi="仿宋_GB2312" w:eastAsia="仿宋_GB2312" w:cs="仿宋_GB2312"/>
          <w:sz w:val="32"/>
          <w:szCs w:val="32"/>
        </w:rPr>
        <w:t>在“东菜、西粮、南水、北牧”的整体格局基础上，进一步调整农业产业结构，布局规模更加趋于合理。全市首个国家现代农业产业园通过认定，生猪养殖规模、水稻种植面积、高端种业水平领先全市。休闲农业和乡村旅游力度加大，现已形成“一河两岸”沿河景观、齐心园区旅游、芦台春地方文化博物馆等“多点开花”的农文旅局面。建设区级文化项目，创建2个AAA级景区、2个市级特色文化旅游村。推进全域旅游，初步打造了东线和西线两条精品旅游线路，助推旅游产业壮大发展。</w:t>
      </w:r>
    </w:p>
    <w:p w14:paraId="19B04065">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96" w:name="_Toc15208"/>
      <w:bookmarkStart w:id="97" w:name="_Toc9487"/>
      <w:r>
        <w:rPr>
          <w:rFonts w:hint="eastAsia" w:ascii="楷体" w:hAnsi="楷体" w:eastAsia="楷体" w:cs="楷体"/>
          <w:b w:val="0"/>
          <w:bCs/>
          <w:sz w:val="32"/>
          <w:szCs w:val="32"/>
        </w:rPr>
        <w:t>（二）积极壮大农业育种，形成优质种源集聚效应</w:t>
      </w:r>
      <w:bookmarkEnd w:id="96"/>
      <w:bookmarkEnd w:id="97"/>
      <w:r>
        <w:rPr>
          <w:rFonts w:hint="eastAsia" w:ascii="楷体" w:hAnsi="楷体" w:eastAsia="楷体" w:cs="楷体"/>
          <w:b w:val="0"/>
          <w:bCs/>
          <w:sz w:val="32"/>
          <w:szCs w:val="32"/>
        </w:rPr>
        <w:t>。</w:t>
      </w:r>
      <w:r>
        <w:rPr>
          <w:rFonts w:hint="eastAsia" w:ascii="仿宋_GB2312" w:hAnsi="仿宋_GB2312" w:eastAsia="仿宋_GB2312" w:cs="仿宋_GB2312"/>
          <w:sz w:val="32"/>
          <w:szCs w:val="32"/>
        </w:rPr>
        <w:t>在“种稻、种猪、种鱼、种蟹、种苗”种源基地的基础上，培育市、区级重点种业企业9家，其中：种植业3家，分别为天津市优质农产品开发示范中心（市水稻原种场、市玉米良种场）、百利种苗和金世神农；畜牧业2家，分别为原种猪场、惠康种猪；水产4家，分别为换新水产、天祥水产、和谐荣达和众民水产。制售范围主要包括水稻、玉米、棉花、蔬菜种苗、种猪等、淡水鱼和观赏鱼等。</w:t>
      </w:r>
    </w:p>
    <w:p w14:paraId="38FEDFFB">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98" w:name="_Toc13217"/>
      <w:bookmarkStart w:id="99" w:name="_Toc18028"/>
      <w:r>
        <w:rPr>
          <w:rFonts w:hint="eastAsia" w:ascii="楷体" w:hAnsi="楷体" w:eastAsia="楷体" w:cs="楷体"/>
          <w:b w:val="0"/>
          <w:bCs/>
          <w:sz w:val="32"/>
          <w:szCs w:val="32"/>
        </w:rPr>
        <w:t>（三）产业化新格局显现，龙头企业带动作用增强</w:t>
      </w:r>
      <w:bookmarkEnd w:id="98"/>
      <w:bookmarkEnd w:id="99"/>
      <w:r>
        <w:rPr>
          <w:rFonts w:hint="eastAsia" w:ascii="楷体" w:hAnsi="楷体" w:eastAsia="楷体" w:cs="楷体"/>
          <w:b w:val="0"/>
          <w:bCs/>
          <w:sz w:val="32"/>
          <w:szCs w:val="32"/>
        </w:rPr>
        <w:t>。</w:t>
      </w:r>
      <w:r>
        <w:rPr>
          <w:rFonts w:hint="eastAsia" w:ascii="仿宋_GB2312" w:hAnsi="仿宋_GB2312" w:eastAsia="仿宋_GB2312" w:cs="仿宋_GB2312"/>
          <w:sz w:val="32"/>
          <w:szCs w:val="32"/>
        </w:rPr>
        <w:t>全区拥有国家级现代农业产业园1家，农产品加工销售企业203家，市级农业龙头企业18家，登记注册家庭农场653家，农民专业合作社1378家，其中宁河原种猪场、今世神农、丰盈米业、天祥水产、和谐荣达、兴宁实业等已经成为生产效益好、带动能力强、产业关联度高的重点龙头企业，相继推出了天河牌种猪、津沽小站稻、七里海香蟹、天祥水产等多个市级以上农产品名牌。高效经济作物在种植业中的比重、农业加工业产值占农业总产值的比重及农户进入产业化经营体系的比例均超过60%。农业产业化经营模式比较完善，现代农业新格局已具雏形。</w:t>
      </w:r>
    </w:p>
    <w:p w14:paraId="7A9178A9">
      <w:pPr>
        <w:pStyle w:val="42"/>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（四）乡村治理体系不断完善，人居环境整治行动成果丰硕。</w:t>
      </w:r>
      <w:r>
        <w:rPr>
          <w:rFonts w:hint="eastAsia" w:ascii="仿宋_GB2312" w:hAnsi="仿宋_GB2312" w:eastAsia="仿宋_GB2312" w:cs="仿宋_GB2312"/>
          <w:sz w:val="32"/>
          <w:szCs w:val="32"/>
        </w:rPr>
        <w:t>坚持党建引领基层治理，提升改造305个村居党群服务中心，建成综治中心、网格中心、三级矛调中心和“信访超市”，扫黑除恶战果显著，有力守护群众安居乐业。基本补齐农村路、桥、水、电、气、热、通讯等短板。通过实施农村污水工程建设，实现全区镇村“四水收集”；完成农村饮水提质增效工程，推进农村供水城市化，城乡供水一体化，解决了农村饮水安全问题。完成农村集体产权制度改革，改造危房4021户，建成电网860公里、“四好农村路”504公里，公交客车实现“村村通”，饮水提质增效工程惠及27万人。252个村级生活污水处理设施投入使用，完成“厕所革命”任务，建成京津冀规模最大的农村负压厕所系统，“美丽村庄”实现全覆盖，建成人居环境示范村53个，人居环境得到有效改善。农村生活垃圾“户集、村收、镇运、区处理”体系形成，能源全部实现“清洁化”。建成2个帮扶村产业基地，86个贫困村全部达到“三美四全五均等”指标体系，农民人均可支配收入增幅连续四年高于全市平均水平。</w:t>
      </w:r>
    </w:p>
    <w:p w14:paraId="796D6B26">
      <w:pPr>
        <w:pageBreakBefore w:val="0"/>
        <w:kinsoku/>
        <w:wordWrap/>
        <w:topLinePunct w:val="0"/>
        <w:autoSpaceDE/>
        <w:autoSpaceDN/>
        <w:bidi w:val="0"/>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取得成效的同时，</w:t>
      </w:r>
      <w:r>
        <w:rPr>
          <w:rFonts w:hint="eastAsia" w:ascii="仿宋_GB2312" w:hAnsi="仿宋_GB2312" w:eastAsia="仿宋_GB2312" w:cs="仿宋_GB2312"/>
          <w:sz w:val="32"/>
          <w:szCs w:val="32"/>
        </w:rPr>
        <w:t>由于农业产业发展的滞后性和不确定性，</w:t>
      </w:r>
      <w:r>
        <w:rPr>
          <w:rFonts w:hint="eastAsia" w:ascii="仿宋_GB2312" w:hAnsi="仿宋_GB2312" w:eastAsia="仿宋_GB2312" w:cs="仿宋_GB2312"/>
          <w:bCs/>
          <w:sz w:val="32"/>
          <w:szCs w:val="32"/>
        </w:rPr>
        <w:t xml:space="preserve">宁河区农业农村发展还存在一些问题和薄弱环节，主要表现在：“农业大而不强、农村美而不聚、农民安而不富”。 </w:t>
      </w:r>
    </w:p>
    <w:p w14:paraId="3A2D3990">
      <w:pPr>
        <w:pageBreakBefore w:val="0"/>
        <w:kinsoku/>
        <w:wordWrap/>
        <w:topLinePunct w:val="0"/>
        <w:autoSpaceDE/>
        <w:autoSpaceDN/>
        <w:bidi w:val="0"/>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一是农业产业化发展缓慢，规模效应不明显。</w:t>
      </w:r>
      <w:r>
        <w:rPr>
          <w:rFonts w:hint="eastAsia" w:ascii="仿宋_GB2312" w:hAnsi="仿宋_GB2312" w:eastAsia="仿宋_GB2312" w:cs="仿宋_GB2312"/>
          <w:bCs/>
          <w:sz w:val="32"/>
          <w:szCs w:val="32"/>
        </w:rPr>
        <w:t>宁河作为农业大区，还处于从传统农业向现代农业转化的过程之中，大农业产值占比过低，规模小、效益低、技术落后等问题普遍存在，农业三产融合度低。</w:t>
      </w:r>
    </w:p>
    <w:p w14:paraId="4E8D865A">
      <w:pPr>
        <w:pageBreakBefore w:val="0"/>
        <w:kinsoku/>
        <w:wordWrap/>
        <w:topLinePunct w:val="0"/>
        <w:autoSpaceDE/>
        <w:autoSpaceDN/>
        <w:bidi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二是农村基础设施发展存在缺项。</w:t>
      </w:r>
      <w:r>
        <w:rPr>
          <w:rFonts w:hint="eastAsia" w:ascii="仿宋_GB2312" w:hAnsi="仿宋_GB2312" w:eastAsia="仿宋_GB2312" w:cs="仿宋_GB2312"/>
          <w:sz w:val="32"/>
          <w:szCs w:val="32"/>
        </w:rPr>
        <w:t>道路、交通、水电气管网、卫生环境等基础设施建设还需要进一步现代化改造；医疗、养老、教育等配套服务需要完善。</w:t>
      </w:r>
    </w:p>
    <w:p w14:paraId="5EBAEF37">
      <w:pPr>
        <w:pageBreakBefore w:val="0"/>
        <w:kinsoku/>
        <w:wordWrap/>
        <w:topLinePunct w:val="0"/>
        <w:autoSpaceDE/>
        <w:autoSpaceDN/>
        <w:bidi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三是农村发展后劲明显不足。</w:t>
      </w:r>
      <w:r>
        <w:rPr>
          <w:rFonts w:hint="eastAsia" w:ascii="仿宋_GB2312" w:hAnsi="仿宋_GB2312" w:eastAsia="仿宋_GB2312" w:cs="仿宋_GB2312"/>
          <w:sz w:val="32"/>
          <w:szCs w:val="32"/>
        </w:rPr>
        <w:t>村庄空心化、老龄化现象逐步加大，乡村精神文明建设、平安乡村建设还存在短板，乡村治理力度需进一步加强。</w:t>
      </w:r>
    </w:p>
    <w:p w14:paraId="3950E4E2">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100" w:name="_Toc21879"/>
      <w:bookmarkStart w:id="101" w:name="_Toc4926"/>
      <w:bookmarkStart w:id="102" w:name="_Toc5858"/>
      <w:bookmarkStart w:id="103" w:name="_Toc22517"/>
      <w:bookmarkStart w:id="104" w:name="_Toc21340"/>
      <w:bookmarkStart w:id="105" w:name="_Toc8522"/>
      <w:bookmarkStart w:id="106" w:name="_Toc30129"/>
      <w:bookmarkStart w:id="107" w:name="_Toc26236"/>
      <w:bookmarkStart w:id="108" w:name="_Toc17758"/>
      <w:bookmarkStart w:id="109" w:name="_Toc13441"/>
      <w:bookmarkStart w:id="110" w:name="_Toc25513"/>
      <w:bookmarkStart w:id="111" w:name="_Toc20288"/>
      <w:bookmarkStart w:id="112" w:name="_Toc9236"/>
      <w:bookmarkStart w:id="113" w:name="_Toc4851"/>
      <w:bookmarkStart w:id="114" w:name="_Toc23651"/>
      <w:bookmarkStart w:id="115" w:name="_Toc8164"/>
      <w:bookmarkStart w:id="116" w:name="_Toc32015"/>
      <w:bookmarkStart w:id="117" w:name="_Toc30538"/>
      <w:bookmarkStart w:id="118" w:name="_Toc7519"/>
      <w:bookmarkStart w:id="119" w:name="_Toc24073"/>
      <w:bookmarkStart w:id="120" w:name="_Toc8377"/>
      <w:bookmarkStart w:id="121" w:name="_Toc22927"/>
      <w:bookmarkStart w:id="122" w:name="_Toc20718"/>
      <w:bookmarkStart w:id="123" w:name="_Toc31880"/>
      <w:bookmarkStart w:id="124" w:name="_Toc9510"/>
      <w:bookmarkStart w:id="125" w:name="_Toc12339"/>
      <w:bookmarkStart w:id="126" w:name="_Toc29682"/>
      <w:bookmarkStart w:id="127" w:name="_Toc13402"/>
      <w:bookmarkStart w:id="128" w:name="_Toc24915"/>
      <w:bookmarkStart w:id="129" w:name="_Toc929"/>
      <w:bookmarkStart w:id="130" w:name="_Toc16790"/>
      <w:bookmarkStart w:id="131" w:name="_Toc7589"/>
      <w:bookmarkStart w:id="132" w:name="_Toc4408"/>
      <w:bookmarkStart w:id="133" w:name="_Toc21478"/>
      <w:bookmarkStart w:id="134" w:name="_Toc1545"/>
      <w:bookmarkStart w:id="135" w:name="_Toc21686_WPSOffice_Level2"/>
      <w:bookmarkStart w:id="136" w:name="_Toc122078285"/>
      <w:bookmarkStart w:id="137" w:name="_Toc8695"/>
      <w:bookmarkStart w:id="138" w:name="_Toc8451"/>
      <w:bookmarkStart w:id="139" w:name="_Toc348"/>
      <w:bookmarkStart w:id="140" w:name="_Toc2023"/>
      <w:bookmarkStart w:id="141" w:name="_Toc3852"/>
      <w:bookmarkStart w:id="142" w:name="_Toc31151"/>
      <w:bookmarkStart w:id="143" w:name="_Toc28613"/>
      <w:bookmarkStart w:id="144" w:name="_Toc1033"/>
      <w:bookmarkStart w:id="145" w:name="_Toc18953"/>
      <w:bookmarkStart w:id="146" w:name="_Toc7515"/>
      <w:bookmarkStart w:id="147" w:name="_Toc598"/>
      <w:bookmarkStart w:id="148" w:name="_Toc32613"/>
      <w:bookmarkStart w:id="149" w:name="_Toc104110330"/>
      <w:bookmarkStart w:id="150" w:name="_Toc918161044_WPSOffice_Level2"/>
      <w:bookmarkStart w:id="151" w:name="_Toc27442"/>
      <w:bookmarkStart w:id="152" w:name="_Toc24117"/>
      <w:bookmarkStart w:id="153" w:name="_Toc6620"/>
      <w:r>
        <w:rPr>
          <w:rFonts w:hint="eastAsia" w:ascii="黑体" w:hAnsi="黑体" w:eastAsia="黑体" w:cs="黑体"/>
          <w:b w:val="0"/>
          <w:bCs/>
          <w:sz w:val="32"/>
          <w:szCs w:val="32"/>
        </w:rPr>
        <w:t>二、发展环境</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hint="eastAsia" w:ascii="黑体" w:hAnsi="黑体" w:eastAsia="黑体" w:cs="黑体"/>
          <w:b w:val="0"/>
          <w:bCs/>
          <w:sz w:val="32"/>
          <w:szCs w:val="32"/>
        </w:rPr>
        <w:tab/>
      </w:r>
    </w:p>
    <w:p w14:paraId="349E60EB">
      <w:pPr>
        <w:pStyle w:val="42"/>
        <w:pageBreakBefore w:val="0"/>
        <w:tabs>
          <w:tab w:val="left" w:pos="3544"/>
        </w:tabs>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（一）从国际看，</w:t>
      </w:r>
      <w:r>
        <w:rPr>
          <w:rFonts w:hint="eastAsia" w:ascii="仿宋_GB2312" w:hAnsi="仿宋_GB2312" w:eastAsia="仿宋_GB2312" w:cs="仿宋_GB2312"/>
          <w:sz w:val="32"/>
          <w:szCs w:val="32"/>
        </w:rPr>
        <w:t>当今世界正经历百年未有之大变局。国际政策更加动荡，新一轮科技革命和产业变革深入发展，中美为首的大国间对峙是未来国际政治经济冲突的核心，国际环境不稳定性不确定性明显增加，新冠肺炎疫情影响广泛深远，经济全球化遭遇逆流，世界进入动荡变革期，全球经济增长全面放缓。5G、卫星遥感、物联网、智联网、大数据、云计算、区块链等数字技术在农业农村领域融合应用加快。美、英、德、法、日等国都把智慧农业、数字经济作为战略方向和优先支持的重点，相继出台了“大数据研究和发展计划”“农业技术战略”“农业发展4.0框架”等战略，加速改变农业农村的生产、生活、生态方式，引领未来乡村发展。</w:t>
      </w:r>
    </w:p>
    <w:p w14:paraId="3B14DD91">
      <w:pPr>
        <w:pStyle w:val="42"/>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（二）从全国看，</w:t>
      </w:r>
      <w:r>
        <w:rPr>
          <w:rFonts w:hint="eastAsia" w:ascii="仿宋_GB2312" w:hAnsi="仿宋_GB2312" w:eastAsia="仿宋_GB2312" w:cs="仿宋_GB2312"/>
          <w:sz w:val="32"/>
          <w:szCs w:val="32"/>
        </w:rPr>
        <w:t>我国正处于实现“两个一百年”奋斗目标的历史交汇期，经济正处在转变发展方式、优化经济结构、转换增长动力的攻关期，特别是“十四五”时期，国内市场主导国民经济循环特征将更加明显，经济增长的内需潜力会不断释放。当前经济发展已全面转向高质量发展阶段，治理效能提升，经济长期向好，物质基础雄厚，人力资源丰富，发展韧性强劲，社会大局稳定，发展具有多方面有利条件。同时党中央部署全面推进乡村振兴战略，加速农业供给侧结构性改革，提高农业农村全要素生产率，增强经济创新力和竞争力，逐步实现农业现代化也步入了快车道。更多的资源要素向农村聚集，城乡数字鸿沟将加快弥合，为数字乡村发展提供强大动力。</w:t>
      </w:r>
    </w:p>
    <w:p w14:paraId="3B9F4DB5">
      <w:pPr>
        <w:pStyle w:val="42"/>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（三）从区域看，</w:t>
      </w:r>
      <w:r>
        <w:rPr>
          <w:rFonts w:hint="eastAsia" w:ascii="仿宋_GB2312" w:hAnsi="仿宋_GB2312" w:eastAsia="仿宋_GB2312" w:cs="仿宋_GB2312"/>
          <w:sz w:val="32"/>
          <w:szCs w:val="32"/>
        </w:rPr>
        <w:t xml:space="preserve">随着京津冀协同发展的纵深推进，宁河的“飞地”优势持续放量，未来科技城、津冀协同发展示范区等承接载体厚积薄发，必将成为北京非首都功能疏解和高端要素转移的“首选地”。京津周边鲜活农产品、休闲旅游市场需求不断扩大。进一步增强区域间合作，主动融入京津冀城市群建设，实现京津冀协同发展，服务对接雄安新区，加速三地农业资源要素的流动性，是实现国内大循环，扩大内需的重要抓手。 </w:t>
      </w:r>
    </w:p>
    <w:p w14:paraId="38979E81">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（四）从天津看，</w:t>
      </w:r>
      <w:r>
        <w:rPr>
          <w:rFonts w:hint="eastAsia" w:ascii="仿宋_GB2312" w:hAnsi="仿宋_GB2312" w:eastAsia="仿宋_GB2312" w:cs="仿宋_GB2312"/>
          <w:sz w:val="32"/>
          <w:szCs w:val="32"/>
        </w:rPr>
        <w:t>“十四五”时期，推动都市型农业农村高质量发展，加快现代化农业产业体系进程，巩固升级农业优势产业，加强自主创新和产业化应用，推动传统优势产业转型升级，增创产业竞争新优势，努力开创新局面是天津农业发展当务之急。“津城”、“滨城”双城发展格局的确立，“滨城”对宁河的辐射带动力更加强劲，为宁河借势提升城市品质品位、促进新旧动能转换带来了千载难逢机遇。</w:t>
      </w:r>
    </w:p>
    <w:p w14:paraId="0397C5A8">
      <w:pPr>
        <w:pageBreakBefore w:val="0"/>
        <w:kinsoku/>
        <w:wordWrap/>
        <w:topLinePunct w:val="0"/>
        <w:autoSpaceDE/>
        <w:autoSpaceDN/>
        <w:bidi w:val="0"/>
        <w:spacing w:line="560" w:lineRule="exact"/>
        <w:ind w:firstLine="640"/>
        <w:rPr>
          <w:rFonts w:hint="eastAsia" w:ascii="仿宋_GB2312" w:hAnsi="仿宋_GB2312" w:eastAsia="仿宋_GB2312" w:cs="仿宋_GB2312"/>
          <w:sz w:val="32"/>
          <w:szCs w:val="32"/>
        </w:rPr>
      </w:pPr>
      <w:bookmarkStart w:id="154" w:name="_Toc10038"/>
      <w:bookmarkStart w:id="155" w:name="_Toc26453"/>
      <w:r>
        <w:rPr>
          <w:rFonts w:hint="eastAsia" w:ascii="仿宋_GB2312" w:hAnsi="仿宋_GB2312" w:eastAsia="仿宋_GB2312" w:cs="仿宋_GB2312"/>
          <w:sz w:val="32"/>
          <w:szCs w:val="32"/>
        </w:rPr>
        <w:t>综合研判</w:t>
      </w:r>
      <w:bookmarkEnd w:id="154"/>
      <w:bookmarkEnd w:id="155"/>
      <w:r>
        <w:rPr>
          <w:rFonts w:hint="eastAsia" w:ascii="仿宋_GB2312" w:hAnsi="仿宋_GB2312" w:eastAsia="仿宋_GB2312" w:cs="仿宋_GB2312"/>
          <w:sz w:val="32"/>
          <w:szCs w:val="32"/>
        </w:rPr>
        <w:t>，“十四五”时期是宁河区农业农村现代化改革引领撬动全方位改革的关键期，数字赋能产业高质量发展的全面扩展期，数字乡村、现代化乡村建设全面“布局”和重点“破局”的窗口期。要积极落实新理念、融入新格局、打造新生态、再造新优势，顺应时代趋势，准确把握改革新机遇新要求，推动农业农村现代化先行区建设，让广大农民共享发展红利，奋力开创宁河农业农村高质量发展新局面。</w:t>
      </w:r>
    </w:p>
    <w:p w14:paraId="5AF8DA30">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156" w:name="_Toc13225"/>
      <w:bookmarkStart w:id="157" w:name="_Toc20063"/>
      <w:bookmarkStart w:id="158" w:name="_Toc17045"/>
      <w:bookmarkStart w:id="159" w:name="_Toc16523"/>
      <w:bookmarkStart w:id="160" w:name="_Toc12127"/>
      <w:bookmarkStart w:id="161" w:name="_Toc6908"/>
      <w:bookmarkStart w:id="162" w:name="_Toc22692"/>
      <w:bookmarkStart w:id="163" w:name="_Toc1730"/>
      <w:bookmarkStart w:id="164" w:name="_Toc26853"/>
      <w:bookmarkStart w:id="165" w:name="_Toc26094"/>
      <w:bookmarkStart w:id="166" w:name="_Toc21482"/>
      <w:bookmarkStart w:id="167" w:name="_Toc21384_WPSOffice_Level2"/>
      <w:bookmarkStart w:id="168" w:name="_Toc2745"/>
      <w:bookmarkStart w:id="169" w:name="_Toc25945"/>
      <w:bookmarkStart w:id="170" w:name="_Toc14933"/>
      <w:bookmarkStart w:id="171" w:name="_Toc28449"/>
      <w:bookmarkStart w:id="172" w:name="_Toc104110331"/>
      <w:bookmarkStart w:id="173" w:name="_Toc18764"/>
      <w:bookmarkStart w:id="174" w:name="_Toc17257"/>
      <w:bookmarkStart w:id="175" w:name="_Toc29410"/>
      <w:bookmarkStart w:id="176" w:name="_Toc15738"/>
      <w:bookmarkStart w:id="177" w:name="_Toc28863"/>
      <w:bookmarkStart w:id="178" w:name="_Toc28508"/>
      <w:bookmarkStart w:id="179" w:name="_Toc23588"/>
      <w:bookmarkStart w:id="180" w:name="_Toc30329"/>
      <w:bookmarkStart w:id="181" w:name="_Toc29910"/>
      <w:bookmarkStart w:id="182" w:name="_Toc6867"/>
      <w:bookmarkStart w:id="183" w:name="_Toc11004"/>
      <w:bookmarkStart w:id="184" w:name="_Toc13549"/>
      <w:bookmarkStart w:id="185" w:name="_Toc28778"/>
      <w:bookmarkStart w:id="186" w:name="_Toc14805"/>
      <w:bookmarkStart w:id="187" w:name="_Toc17356"/>
      <w:bookmarkStart w:id="188" w:name="_Toc11543"/>
      <w:bookmarkStart w:id="189" w:name="_Toc19975"/>
      <w:bookmarkStart w:id="190" w:name="_Toc15064"/>
      <w:bookmarkStart w:id="191" w:name="_Toc17171"/>
      <w:bookmarkStart w:id="192" w:name="_Toc18720"/>
      <w:bookmarkStart w:id="193" w:name="_Toc24470"/>
      <w:bookmarkStart w:id="194" w:name="_Toc23429"/>
      <w:bookmarkStart w:id="195" w:name="_Toc1324725924_WPSOffice_Level2"/>
      <w:bookmarkStart w:id="196" w:name="_Toc1735"/>
      <w:bookmarkStart w:id="197" w:name="_Toc16275"/>
      <w:bookmarkStart w:id="198" w:name="_Toc23364"/>
      <w:bookmarkStart w:id="199" w:name="_Toc29813"/>
      <w:bookmarkStart w:id="200" w:name="_Toc19037"/>
      <w:bookmarkStart w:id="201" w:name="_Toc122078286"/>
      <w:bookmarkStart w:id="202" w:name="_Toc22589"/>
      <w:bookmarkStart w:id="203" w:name="_Toc14125"/>
      <w:bookmarkStart w:id="204" w:name="_Toc15336"/>
      <w:bookmarkStart w:id="205" w:name="_Toc8947"/>
      <w:bookmarkStart w:id="206" w:name="_Toc3116"/>
      <w:bookmarkStart w:id="207" w:name="_Toc7479"/>
      <w:r>
        <w:rPr>
          <w:rFonts w:hint="eastAsia" w:ascii="黑体" w:hAnsi="黑体" w:eastAsia="黑体" w:cs="黑体"/>
          <w:b w:val="0"/>
          <w:bCs/>
          <w:sz w:val="32"/>
          <w:szCs w:val="32"/>
        </w:rPr>
        <w:t>三、发展定位</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21DA1DD4">
      <w:pPr>
        <w:pageBreakBefore w:val="0"/>
        <w:kinsoku/>
        <w:wordWrap/>
        <w:topLinePunct w:val="0"/>
        <w:autoSpaceDE/>
        <w:autoSpaceDN/>
        <w:bidi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“十四五”期间，</w:t>
      </w:r>
      <w:r>
        <w:rPr>
          <w:rFonts w:hint="eastAsia" w:ascii="仿宋_GB2312" w:hAnsi="仿宋_GB2312" w:eastAsia="仿宋_GB2312" w:cs="仿宋_GB2312"/>
          <w:sz w:val="32"/>
          <w:szCs w:val="32"/>
        </w:rPr>
        <w:t>坚持农业农村优先发展，大力实施乡村振兴战略，把解决好“三农”问题作为重中之重，总体发展定位为：</w:t>
      </w:r>
    </w:p>
    <w:p w14:paraId="3D86C7A4">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208" w:name="_Toc2531"/>
      <w:bookmarkStart w:id="209" w:name="_Toc31058"/>
      <w:r>
        <w:rPr>
          <w:rFonts w:hint="eastAsia" w:ascii="楷体" w:hAnsi="楷体" w:eastAsia="楷体" w:cs="楷体"/>
          <w:b w:val="0"/>
          <w:bCs/>
          <w:sz w:val="32"/>
          <w:szCs w:val="32"/>
        </w:rPr>
        <w:t>（一）都市型绿色农业生态区</w:t>
      </w:r>
      <w:bookmarkEnd w:id="208"/>
      <w:bookmarkEnd w:id="209"/>
      <w:r>
        <w:rPr>
          <w:rFonts w:hint="eastAsia" w:ascii="楷体" w:hAnsi="楷体" w:eastAsia="楷体" w:cs="楷体"/>
          <w:b w:val="0"/>
          <w:bCs/>
          <w:sz w:val="32"/>
          <w:szCs w:val="32"/>
        </w:rPr>
        <w:t>。</w:t>
      </w:r>
      <w:r>
        <w:rPr>
          <w:rFonts w:hint="eastAsia" w:ascii="仿宋_GB2312" w:hAnsi="仿宋_GB2312" w:eastAsia="仿宋_GB2312" w:cs="仿宋_GB2312"/>
          <w:sz w:val="32"/>
          <w:szCs w:val="32"/>
        </w:rPr>
        <w:t>始终践行“绿水青山就是金山银山”的理念，根据农业生态环境的多样性和地域差异性，结合宁河区生态环境特点、自然禀赋和社会经济条件，把发展农业产业同保护生态环境结合起来，以农业生态环境领域科技创新为重点，在污染防治、绿色生产、生态保护等方面高效、优质、安全、可持续发展，打造京津冀都市现代农业的生态功能和产业功能深度融合的典范，在生态保护规定要求下创新发展循环经济，成为都市型绿色农业发展区。</w:t>
      </w:r>
    </w:p>
    <w:p w14:paraId="2B1BAC11">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（二）特色农产品保供区。</w:t>
      </w:r>
      <w:r>
        <w:rPr>
          <w:rFonts w:hint="eastAsia" w:ascii="仿宋_GB2312" w:hAnsi="仿宋_GB2312" w:eastAsia="仿宋_GB2312" w:cs="仿宋_GB2312"/>
          <w:sz w:val="32"/>
          <w:szCs w:val="32"/>
          <w:lang w:eastAsia="ja-JP"/>
        </w:rPr>
        <w:t>在保证6万亩基本粮食生产功能区的基础上，</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eastAsia="ja-JP"/>
        </w:rPr>
        <w:t>落实粮食安全战略，以北部三镇为重点，实施十万亩高标准农田提升改造项目和农业园区提升改造项目，全面改善农业基础设施条件，优先支持粮食生产功能区内目标作物种植，加快把粮食生产功能区建成高标准粮田。</w:t>
      </w:r>
      <w:r>
        <w:rPr>
          <w:rFonts w:hint="eastAsia" w:ascii="仿宋_GB2312" w:hAnsi="仿宋_GB2312" w:eastAsia="仿宋_GB2312" w:cs="仿宋_GB2312"/>
          <w:sz w:val="32"/>
          <w:szCs w:val="32"/>
        </w:rPr>
        <w:t>突破农业产业发展的关键核心技术，在宁河区原有五大种源基地的基础上，进一步发展现代农业先进的育种技术、灌溉技术、机械技术，温室生产技术，应用互联网、物联网等技术，高效利用资源，提升农产品品质、做大优质农产品规模、做强“三红两紫一青四白（红椒、红薯、西红柿；七里海紫蟹、葡萄；青菜；宁河大米、白鳞鱼、长白猪、白菇）十大农副产品品牌，以农产品高品质化、加工精细化、经营多元化为主要特征，促进休闲农业、观光农业、农村电商、中央厨房、冷链物流、预制菜等农村新业态快速发展，成为特色农产品保供区。</w:t>
      </w:r>
    </w:p>
    <w:p w14:paraId="23AC7EB2">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210" w:name="_Toc31256"/>
      <w:bookmarkStart w:id="211" w:name="_Toc26168"/>
      <w:r>
        <w:rPr>
          <w:rFonts w:hint="eastAsia" w:ascii="楷体" w:hAnsi="楷体" w:eastAsia="楷体" w:cs="楷体"/>
          <w:b w:val="0"/>
          <w:bCs/>
          <w:sz w:val="32"/>
          <w:szCs w:val="32"/>
        </w:rPr>
        <w:t>（三）农文旅融合发展先行区</w:t>
      </w:r>
      <w:bookmarkEnd w:id="210"/>
      <w:bookmarkEnd w:id="211"/>
      <w:r>
        <w:rPr>
          <w:rFonts w:hint="eastAsia" w:ascii="楷体" w:hAnsi="楷体" w:eastAsia="楷体" w:cs="楷体"/>
          <w:b w:val="0"/>
          <w:bCs/>
          <w:sz w:val="32"/>
          <w:szCs w:val="32"/>
        </w:rPr>
        <w:t>。</w:t>
      </w:r>
      <w:r>
        <w:rPr>
          <w:rFonts w:hint="eastAsia" w:ascii="仿宋_GB2312" w:hAnsi="仿宋_GB2312" w:eastAsia="仿宋_GB2312" w:cs="仿宋_GB2312"/>
          <w:sz w:val="32"/>
          <w:szCs w:val="32"/>
        </w:rPr>
        <w:t>立足宁河农业产业特色优势，结合乡村资源和生态环境优势，保护和活化民俗村落、古村古镇，建设一批具有历史、地域、民族特点的特色景观旅游村镇，突出乡村生活、生产、生态特点，开发建设形式多样、特色鲜明、个性突出的农产品和乡村旅游产品，举办具有地方特色的农事节庆活动，让游客看得见山水、记得住乡愁、留得住乡情，成为农文旅融合发展先行区。</w:t>
      </w:r>
    </w:p>
    <w:p w14:paraId="30B46DED">
      <w:pPr>
        <w:pageBreakBefore w:val="0"/>
        <w:tabs>
          <w:tab w:val="left" w:pos="1418"/>
        </w:tabs>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（四）现代化农业农村改革创新示范区。</w:t>
      </w:r>
      <w:r>
        <w:rPr>
          <w:rFonts w:hint="eastAsia" w:ascii="仿宋_GB2312" w:hAnsi="仿宋_GB2312" w:eastAsia="仿宋_GB2312" w:cs="仿宋_GB2312"/>
          <w:sz w:val="32"/>
          <w:szCs w:val="32"/>
        </w:rPr>
        <w:t>进一步推进美丽村庄、人居环境示范村、新型生活社区建设，传承宁河优良乡村传统，突出地域特色、乡土风貌，坚持产城融合，建设生态宜居美丽乡村，农村人居环境显著改善，城乡基础设施一体化、公共服务均等化水平持续提升，充分激发乡村发展活力，更多人才、科技、资金等先进要素向乡村良性流动，发挥产业带动作用，促进农民收入持续增长，农民群众获得感、幸福感、安全感明显提高，落实“三美四乡”建设指标与评价指标，成为现代化农业农村发展示范区。</w:t>
      </w:r>
    </w:p>
    <w:p w14:paraId="077EF746">
      <w:pPr>
        <w:pStyle w:val="3"/>
        <w:pageBreakBefore w:val="0"/>
        <w:kinsoku/>
        <w:wordWrap/>
        <w:topLinePunct w:val="0"/>
        <w:autoSpaceDE/>
        <w:autoSpaceDN/>
        <w:bidi w:val="0"/>
        <w:spacing w:line="560" w:lineRule="exact"/>
        <w:rPr>
          <w:rFonts w:hint="eastAsia" w:ascii="黑体" w:hAnsi="黑体" w:eastAsia="黑体" w:cs="黑体"/>
          <w:sz w:val="32"/>
          <w:szCs w:val="32"/>
        </w:rPr>
      </w:pPr>
      <w:bookmarkStart w:id="212" w:name="_Toc11406"/>
      <w:bookmarkStart w:id="213" w:name="_Toc22963"/>
      <w:bookmarkStart w:id="214" w:name="_Toc6154_WPSOffice_Level1"/>
      <w:bookmarkStart w:id="215" w:name="_Toc22366"/>
      <w:bookmarkStart w:id="216" w:name="_Toc19236"/>
      <w:bookmarkStart w:id="217" w:name="_Toc29300"/>
      <w:bookmarkStart w:id="218" w:name="_Toc32421"/>
      <w:bookmarkStart w:id="219" w:name="_Toc20247"/>
      <w:bookmarkStart w:id="220" w:name="_Toc26466"/>
      <w:bookmarkStart w:id="221" w:name="_Toc16876"/>
      <w:bookmarkStart w:id="222" w:name="_Toc20966"/>
      <w:bookmarkStart w:id="223" w:name="_Toc16385"/>
      <w:bookmarkStart w:id="224" w:name="_Toc15194"/>
      <w:bookmarkStart w:id="225" w:name="_Toc2868"/>
      <w:bookmarkStart w:id="226" w:name="_Toc9726"/>
      <w:bookmarkStart w:id="227" w:name="_Toc5095"/>
      <w:bookmarkStart w:id="228" w:name="_Toc6956"/>
      <w:bookmarkStart w:id="229" w:name="_Toc1741730789_WPSOffice_Level1"/>
      <w:bookmarkStart w:id="230" w:name="_Toc15097"/>
      <w:bookmarkStart w:id="231" w:name="_Toc16121"/>
      <w:bookmarkStart w:id="232" w:name="_Toc25023"/>
      <w:bookmarkStart w:id="233" w:name="_Toc21436"/>
      <w:bookmarkStart w:id="234" w:name="_Toc27258"/>
      <w:bookmarkStart w:id="235" w:name="_Toc9238"/>
      <w:bookmarkStart w:id="236" w:name="_Toc6429"/>
      <w:bookmarkStart w:id="237" w:name="_Toc6025"/>
      <w:bookmarkStart w:id="238" w:name="_Toc6949"/>
      <w:bookmarkStart w:id="239" w:name="_Toc14969"/>
      <w:bookmarkStart w:id="240" w:name="_Toc26773"/>
      <w:bookmarkStart w:id="241" w:name="_Toc20107"/>
      <w:bookmarkStart w:id="242" w:name="_Toc1447"/>
      <w:bookmarkStart w:id="243" w:name="_Toc23860"/>
      <w:bookmarkStart w:id="244" w:name="_Toc1498"/>
      <w:bookmarkStart w:id="245" w:name="_Toc21742"/>
      <w:bookmarkStart w:id="246" w:name="_Toc30341"/>
      <w:bookmarkStart w:id="247" w:name="_Toc11336"/>
      <w:bookmarkStart w:id="248" w:name="_Toc15285"/>
      <w:bookmarkStart w:id="249" w:name="_Toc32603"/>
      <w:bookmarkStart w:id="250" w:name="_Toc3548"/>
      <w:bookmarkStart w:id="251" w:name="_Toc122078287"/>
      <w:bookmarkStart w:id="252" w:name="_Toc12009"/>
      <w:bookmarkStart w:id="253" w:name="_Toc23323"/>
      <w:bookmarkStart w:id="254" w:name="_Toc24110"/>
      <w:bookmarkStart w:id="255" w:name="_Toc15232"/>
      <w:bookmarkStart w:id="256" w:name="_Toc28010"/>
      <w:bookmarkStart w:id="257" w:name="_Toc104110332"/>
      <w:bookmarkStart w:id="258" w:name="_Toc18573"/>
      <w:bookmarkStart w:id="259" w:name="_Toc19654"/>
      <w:bookmarkStart w:id="260" w:name="_Toc31049"/>
      <w:bookmarkStart w:id="261" w:name="_Toc10369"/>
      <w:bookmarkStart w:id="262" w:name="_Toc3288"/>
      <w:bookmarkStart w:id="263" w:name="_Toc20860"/>
      <w:bookmarkStart w:id="264" w:name="_Toc17294"/>
      <w:bookmarkStart w:id="265" w:name="_Toc28280"/>
      <w:r>
        <w:rPr>
          <w:rFonts w:hint="eastAsia" w:ascii="黑体" w:hAnsi="黑体" w:eastAsia="黑体" w:cs="黑体"/>
          <w:sz w:val="32"/>
          <w:szCs w:val="32"/>
        </w:rPr>
        <w:t>第二章</w:t>
      </w:r>
      <w:bookmarkEnd w:id="212"/>
      <w:bookmarkEnd w:id="213"/>
      <w:r>
        <w:rPr>
          <w:rFonts w:hint="eastAsia" w:ascii="黑体" w:hAnsi="黑体" w:eastAsia="黑体" w:cs="黑体"/>
          <w:sz w:val="32"/>
          <w:szCs w:val="32"/>
        </w:rPr>
        <w:t xml:space="preserve">  指导</w:t>
      </w:r>
      <w:bookmarkEnd w:id="214"/>
      <w:r>
        <w:rPr>
          <w:rFonts w:hint="eastAsia" w:ascii="黑体" w:hAnsi="黑体" w:eastAsia="黑体" w:cs="黑体"/>
          <w:sz w:val="32"/>
          <w:szCs w:val="32"/>
        </w:rPr>
        <w:t>思想和主要目标</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2CEA9C6D">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266" w:name="_Toc7453"/>
      <w:bookmarkStart w:id="267" w:name="_Toc12405"/>
      <w:bookmarkStart w:id="268" w:name="_Toc8559"/>
      <w:bookmarkStart w:id="269" w:name="_Toc16403"/>
      <w:bookmarkStart w:id="270" w:name="_Toc24095"/>
      <w:bookmarkStart w:id="271" w:name="_Toc6748"/>
      <w:bookmarkStart w:id="272" w:name="_Toc25337"/>
      <w:bookmarkStart w:id="273" w:name="_Toc5412"/>
      <w:bookmarkStart w:id="274" w:name="_Toc122078288"/>
      <w:bookmarkStart w:id="275" w:name="_Toc22243"/>
      <w:bookmarkStart w:id="276" w:name="_Toc24942"/>
      <w:bookmarkStart w:id="277" w:name="_Toc13326"/>
      <w:bookmarkStart w:id="278" w:name="_Toc31276"/>
      <w:bookmarkStart w:id="279" w:name="_Toc14847"/>
      <w:bookmarkStart w:id="280" w:name="_Toc20898"/>
      <w:bookmarkStart w:id="281" w:name="_Toc23256"/>
      <w:bookmarkStart w:id="282" w:name="_Toc23531"/>
      <w:bookmarkStart w:id="283" w:name="_Toc28801"/>
      <w:bookmarkStart w:id="284" w:name="_Toc4978"/>
      <w:bookmarkStart w:id="285" w:name="_Toc27884"/>
      <w:bookmarkStart w:id="286" w:name="_Toc21618"/>
      <w:bookmarkStart w:id="287" w:name="_Toc3344"/>
      <w:bookmarkStart w:id="288" w:name="_Toc26897"/>
      <w:bookmarkStart w:id="289" w:name="_Toc23955"/>
      <w:bookmarkStart w:id="290" w:name="_Toc25059"/>
      <w:bookmarkStart w:id="291" w:name="_Toc17382"/>
      <w:bookmarkStart w:id="292" w:name="_Toc104110333"/>
      <w:bookmarkStart w:id="293" w:name="_Toc14295"/>
      <w:bookmarkStart w:id="294" w:name="_Toc20482"/>
      <w:bookmarkStart w:id="295" w:name="_Toc4706"/>
      <w:bookmarkStart w:id="296" w:name="_Toc8588"/>
      <w:bookmarkStart w:id="297" w:name="_Toc4507"/>
      <w:bookmarkStart w:id="298" w:name="_Toc28448"/>
      <w:bookmarkStart w:id="299" w:name="_Toc18530"/>
      <w:bookmarkStart w:id="300" w:name="_Toc17938"/>
      <w:bookmarkStart w:id="301" w:name="_Toc32053"/>
      <w:bookmarkStart w:id="302" w:name="_Toc12300"/>
      <w:bookmarkStart w:id="303" w:name="_Toc24615"/>
      <w:bookmarkStart w:id="304" w:name="_Toc32322_WPSOffice_Level2"/>
      <w:bookmarkStart w:id="305" w:name="_Toc23224"/>
      <w:bookmarkStart w:id="306" w:name="_Toc14894"/>
      <w:bookmarkStart w:id="307" w:name="_Toc32589"/>
      <w:bookmarkStart w:id="308" w:name="_Toc2132"/>
      <w:bookmarkStart w:id="309" w:name="_Toc1375842663_WPSOffice_Level2"/>
      <w:bookmarkStart w:id="310" w:name="_Toc864"/>
      <w:bookmarkStart w:id="311" w:name="_Toc19982"/>
      <w:bookmarkStart w:id="312" w:name="_Toc7962"/>
      <w:bookmarkStart w:id="313" w:name="_Toc31602"/>
      <w:bookmarkStart w:id="314" w:name="_Toc8915"/>
      <w:bookmarkStart w:id="315" w:name="_Toc19617"/>
      <w:bookmarkStart w:id="316" w:name="_Toc16208"/>
      <w:bookmarkStart w:id="317" w:name="_Toc20"/>
      <w:bookmarkStart w:id="318" w:name="_Toc13980"/>
      <w:bookmarkStart w:id="319" w:name="_Toc21316"/>
      <w:r>
        <w:rPr>
          <w:rFonts w:hint="eastAsia" w:ascii="黑体" w:hAnsi="黑体" w:eastAsia="黑体" w:cs="黑体"/>
          <w:b w:val="0"/>
          <w:bCs/>
          <w:sz w:val="32"/>
          <w:szCs w:val="32"/>
        </w:rPr>
        <w:t>一、指导思想</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0E79FA02">
      <w:pPr>
        <w:pageBreakBefore w:val="0"/>
        <w:kinsoku/>
        <w:wordWrap/>
        <w:topLinePunct w:val="0"/>
        <w:autoSpaceDE/>
        <w:autoSpaceDN/>
        <w:bidi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精神，深入落实习近平总书记关于“三农”工作的一系列重要指示批示精神，认真贯彻落实党中央、国务院决策部署和市委、市政府部署要求，立足新发展阶段，贯彻新发展理念，构建新发展格局，围绕全面推进乡村振兴、加快农业农村现代化发展，以改革创新为动力，以增进人民福祉为根本目的，统筹发展和安全，夯实农业基础地位，进一步补短板、强弱项、促提升，立足宁河区农业农村资源优势，进一步深化供给侧结构性改革、加快新旧动能转换，全面推进宁河农业农村高质量发展。</w:t>
      </w:r>
    </w:p>
    <w:p w14:paraId="17F5E111">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320" w:name="_Toc13230"/>
      <w:bookmarkStart w:id="321" w:name="_Toc23179"/>
      <w:bookmarkStart w:id="322" w:name="_Toc5695"/>
      <w:bookmarkStart w:id="323" w:name="_Toc19259"/>
      <w:bookmarkStart w:id="324" w:name="_Toc20869"/>
      <w:bookmarkStart w:id="325" w:name="_Toc15296"/>
      <w:bookmarkStart w:id="326" w:name="_Toc11888"/>
      <w:bookmarkStart w:id="327" w:name="_Toc25131"/>
      <w:bookmarkStart w:id="328" w:name="_Toc122078289"/>
      <w:bookmarkStart w:id="329" w:name="_Toc3458"/>
      <w:bookmarkStart w:id="330" w:name="_Toc11877"/>
      <w:bookmarkStart w:id="331" w:name="_Toc28056"/>
      <w:bookmarkStart w:id="332" w:name="_Toc414078064_WPSOffice_Level2"/>
      <w:bookmarkStart w:id="333" w:name="_Toc16919"/>
      <w:bookmarkStart w:id="334" w:name="_Toc27616"/>
      <w:bookmarkStart w:id="335" w:name="_Toc30378"/>
      <w:bookmarkStart w:id="336" w:name="_Toc30583_WPSOffice_Level2"/>
      <w:bookmarkStart w:id="337" w:name="_Toc6986"/>
      <w:bookmarkStart w:id="338" w:name="_Toc20868"/>
      <w:bookmarkStart w:id="339" w:name="_Toc1148"/>
      <w:bookmarkStart w:id="340" w:name="_Toc27087"/>
      <w:bookmarkStart w:id="341" w:name="_Toc807"/>
      <w:bookmarkStart w:id="342" w:name="_Toc104110334"/>
      <w:bookmarkStart w:id="343" w:name="_Toc24790"/>
      <w:bookmarkStart w:id="344" w:name="_Toc5959"/>
      <w:bookmarkStart w:id="345" w:name="_Toc7301"/>
      <w:bookmarkStart w:id="346" w:name="_Toc24123"/>
      <w:bookmarkStart w:id="347" w:name="_Toc17244"/>
      <w:bookmarkStart w:id="348" w:name="_Toc4018"/>
      <w:bookmarkStart w:id="349" w:name="_Toc5610"/>
      <w:bookmarkStart w:id="350" w:name="_Toc17354"/>
      <w:bookmarkStart w:id="351" w:name="_Toc32727"/>
      <w:bookmarkStart w:id="352" w:name="_Toc28891"/>
      <w:bookmarkStart w:id="353" w:name="_Toc1314"/>
      <w:bookmarkStart w:id="354" w:name="_Toc11450"/>
      <w:bookmarkStart w:id="355" w:name="_Toc31588"/>
      <w:bookmarkStart w:id="356" w:name="_Toc24743"/>
      <w:bookmarkStart w:id="357" w:name="_Toc22571"/>
      <w:bookmarkStart w:id="358" w:name="_Toc549"/>
      <w:bookmarkStart w:id="359" w:name="_Toc3978"/>
      <w:bookmarkStart w:id="360" w:name="_Toc14291"/>
      <w:bookmarkStart w:id="361" w:name="_Toc17986"/>
      <w:bookmarkStart w:id="362" w:name="_Toc29608"/>
      <w:bookmarkStart w:id="363" w:name="_Toc17057"/>
      <w:bookmarkStart w:id="364" w:name="_Toc14483"/>
      <w:bookmarkStart w:id="365" w:name="_Toc30072"/>
      <w:bookmarkStart w:id="366" w:name="_Toc22677"/>
      <w:bookmarkStart w:id="367" w:name="_Toc14620"/>
      <w:bookmarkStart w:id="368" w:name="_Toc10719"/>
      <w:bookmarkStart w:id="369" w:name="_Toc1499"/>
      <w:bookmarkStart w:id="370" w:name="_Toc360"/>
      <w:bookmarkStart w:id="371" w:name="_Toc11858"/>
      <w:bookmarkStart w:id="372" w:name="_Toc31048"/>
      <w:bookmarkStart w:id="373" w:name="_Toc6622"/>
      <w:r>
        <w:rPr>
          <w:rFonts w:hint="eastAsia" w:ascii="黑体" w:hAnsi="黑体" w:eastAsia="黑体" w:cs="黑体"/>
          <w:b w:val="0"/>
          <w:bCs/>
          <w:sz w:val="32"/>
          <w:szCs w:val="32"/>
        </w:rPr>
        <w:t>二、基本原则</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3C947A6C">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374" w:name="_Toc30833"/>
      <w:bookmarkStart w:id="375" w:name="_Toc15042"/>
      <w:r>
        <w:rPr>
          <w:rFonts w:hint="eastAsia" w:ascii="楷体" w:hAnsi="楷体" w:eastAsia="楷体" w:cs="楷体"/>
          <w:b w:val="0"/>
          <w:bCs/>
          <w:sz w:val="32"/>
          <w:szCs w:val="32"/>
        </w:rPr>
        <w:t>（一）坚持党的全面领导</w:t>
      </w:r>
      <w:bookmarkEnd w:id="374"/>
      <w:bookmarkEnd w:id="375"/>
      <w:r>
        <w:rPr>
          <w:rFonts w:hint="eastAsia" w:ascii="楷体" w:hAnsi="楷体" w:eastAsia="楷体" w:cs="楷体"/>
          <w:b w:val="0"/>
          <w:bCs/>
          <w:sz w:val="32"/>
          <w:szCs w:val="32"/>
        </w:rPr>
        <w:t>。</w:t>
      </w:r>
      <w:r>
        <w:rPr>
          <w:rFonts w:hint="eastAsia" w:ascii="仿宋_GB2312" w:hAnsi="仿宋_GB2312" w:eastAsia="仿宋_GB2312" w:cs="仿宋_GB2312"/>
          <w:sz w:val="32"/>
          <w:szCs w:val="32"/>
        </w:rPr>
        <w:t>坚持“三农”工作重中之重地位，确保党在“三农”工作中总揽全局、协调各方，切实加强党对农村经济建设、政治建设、文化建设、社会建设、生态文明建设和党的建设各项工作的全面领导。</w:t>
      </w:r>
    </w:p>
    <w:p w14:paraId="43B96BD3">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376" w:name="_Toc30386"/>
      <w:bookmarkStart w:id="377" w:name="_Toc14908"/>
      <w:r>
        <w:rPr>
          <w:rFonts w:hint="eastAsia" w:ascii="楷体" w:hAnsi="楷体" w:eastAsia="楷体" w:cs="楷体"/>
          <w:b w:val="0"/>
          <w:bCs/>
          <w:sz w:val="32"/>
          <w:szCs w:val="32"/>
        </w:rPr>
        <w:t>（二）坚持农民主体地位</w:t>
      </w:r>
      <w:bookmarkEnd w:id="376"/>
      <w:bookmarkEnd w:id="377"/>
      <w:r>
        <w:rPr>
          <w:rFonts w:hint="eastAsia" w:ascii="楷体" w:hAnsi="楷体" w:eastAsia="楷体" w:cs="楷体"/>
          <w:b w:val="0"/>
          <w:bCs/>
          <w:sz w:val="32"/>
          <w:szCs w:val="32"/>
        </w:rPr>
        <w:t>。</w:t>
      </w:r>
      <w:r>
        <w:rPr>
          <w:rFonts w:hint="eastAsia" w:ascii="仿宋_GB2312" w:hAnsi="仿宋_GB2312" w:eastAsia="仿宋_GB2312" w:cs="仿宋_GB2312"/>
          <w:sz w:val="32"/>
          <w:szCs w:val="32"/>
        </w:rPr>
        <w:t>坚持农民是农业农村发展的主体，充分发挥农民的首创精神，支持鼓励农民积极探索和实践。把实现好、维护好、发展好广大农民的根本利益作为出发点和落脚点，充分保障农民利益，尊重农民意愿。</w:t>
      </w:r>
    </w:p>
    <w:p w14:paraId="0BD7BD17">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378" w:name="_Toc28494"/>
      <w:bookmarkStart w:id="379" w:name="_Toc28935"/>
      <w:r>
        <w:rPr>
          <w:rFonts w:hint="eastAsia" w:ascii="楷体" w:hAnsi="楷体" w:eastAsia="楷体" w:cs="楷体"/>
          <w:b w:val="0"/>
          <w:bCs/>
          <w:sz w:val="32"/>
          <w:szCs w:val="32"/>
        </w:rPr>
        <w:t>（三）坚持生态绿色发展</w:t>
      </w:r>
      <w:bookmarkEnd w:id="378"/>
      <w:bookmarkEnd w:id="379"/>
      <w:r>
        <w:rPr>
          <w:rFonts w:hint="eastAsia" w:ascii="楷体" w:hAnsi="楷体" w:eastAsia="楷体" w:cs="楷体"/>
          <w:b w:val="0"/>
          <w:bCs/>
          <w:sz w:val="32"/>
          <w:szCs w:val="32"/>
        </w:rPr>
        <w:t>。</w:t>
      </w:r>
      <w:r>
        <w:rPr>
          <w:rFonts w:hint="eastAsia" w:ascii="仿宋_GB2312" w:hAnsi="仿宋_GB2312" w:eastAsia="仿宋_GB2312" w:cs="仿宋_GB2312"/>
          <w:sz w:val="32"/>
          <w:szCs w:val="32"/>
        </w:rPr>
        <w:t>加强环境保护和自然生态修复，积极推进生态文明建设，大力推进生态产业化、产业生态化，推动形成绿色发展方式和生活方式，增强经济社会可持续发展能力。</w:t>
      </w:r>
    </w:p>
    <w:p w14:paraId="72C4CFEF">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380" w:name="_Toc9676"/>
      <w:bookmarkStart w:id="381" w:name="_Toc13422"/>
      <w:r>
        <w:rPr>
          <w:rFonts w:hint="eastAsia" w:ascii="楷体" w:hAnsi="楷体" w:eastAsia="楷体" w:cs="楷体"/>
          <w:b w:val="0"/>
          <w:bCs/>
          <w:sz w:val="32"/>
          <w:szCs w:val="32"/>
        </w:rPr>
        <w:t>（四）坚持特色创新发展</w:t>
      </w:r>
      <w:bookmarkEnd w:id="380"/>
      <w:bookmarkEnd w:id="381"/>
      <w:r>
        <w:rPr>
          <w:rFonts w:hint="eastAsia" w:ascii="楷体" w:hAnsi="楷体" w:eastAsia="楷体" w:cs="楷体"/>
          <w:b w:val="0"/>
          <w:bCs/>
          <w:sz w:val="32"/>
          <w:szCs w:val="32"/>
        </w:rPr>
        <w:t>。</w:t>
      </w:r>
      <w:r>
        <w:rPr>
          <w:rFonts w:hint="eastAsia" w:ascii="仿宋_GB2312" w:hAnsi="仿宋_GB2312" w:eastAsia="仿宋_GB2312" w:cs="仿宋_GB2312"/>
          <w:sz w:val="32"/>
          <w:szCs w:val="32"/>
        </w:rPr>
        <w:t>强化创新引领，聚焦产业前沿与关键技术，加快构建以企业为主体、政产学研一体的科技创新体系，围绕优势产业，打造产业特色，形成错位发展、互补发展的良性格局。</w:t>
      </w:r>
    </w:p>
    <w:p w14:paraId="6B903134">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382" w:name="_Toc24055"/>
      <w:bookmarkStart w:id="383" w:name="_Toc28834"/>
      <w:r>
        <w:rPr>
          <w:rFonts w:hint="eastAsia" w:ascii="楷体" w:hAnsi="楷体" w:eastAsia="楷体" w:cs="楷体"/>
          <w:b w:val="0"/>
          <w:bCs/>
          <w:sz w:val="32"/>
          <w:szCs w:val="32"/>
        </w:rPr>
        <w:t>（五）坚持产业集聚发展</w:t>
      </w:r>
      <w:bookmarkEnd w:id="382"/>
      <w:bookmarkEnd w:id="383"/>
      <w:r>
        <w:rPr>
          <w:rFonts w:hint="eastAsia" w:ascii="楷体" w:hAnsi="楷体" w:eastAsia="楷体" w:cs="楷体"/>
          <w:b w:val="0"/>
          <w:bCs/>
          <w:sz w:val="32"/>
          <w:szCs w:val="32"/>
        </w:rPr>
        <w:t>。</w:t>
      </w:r>
      <w:r>
        <w:rPr>
          <w:rFonts w:hint="eastAsia" w:ascii="仿宋_GB2312" w:hAnsi="仿宋_GB2312" w:eastAsia="仿宋_GB2312" w:cs="仿宋_GB2312"/>
          <w:sz w:val="32"/>
          <w:szCs w:val="32"/>
        </w:rPr>
        <w:t>发挥优势产业、优势企业的关联带动作用，推动龙头企业技术扩散，强化产业配套能力，把培育完善优势产业链作为产业发展路径，形成相互关联、相互支撑、相互促进的发展格局。</w:t>
      </w:r>
    </w:p>
    <w:p w14:paraId="0107BC01">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384" w:name="_Toc14046"/>
      <w:bookmarkStart w:id="385" w:name="_Toc9553"/>
      <w:r>
        <w:rPr>
          <w:rFonts w:hint="eastAsia" w:ascii="楷体" w:hAnsi="楷体" w:eastAsia="楷体" w:cs="楷体"/>
          <w:b w:val="0"/>
          <w:bCs/>
          <w:sz w:val="32"/>
          <w:szCs w:val="32"/>
        </w:rPr>
        <w:t>（六）坚持城乡融合发展</w:t>
      </w:r>
      <w:bookmarkEnd w:id="384"/>
      <w:bookmarkEnd w:id="385"/>
      <w:r>
        <w:rPr>
          <w:rFonts w:hint="eastAsia" w:ascii="楷体" w:hAnsi="楷体" w:eastAsia="楷体" w:cs="楷体"/>
          <w:b w:val="0"/>
          <w:bCs/>
          <w:sz w:val="32"/>
          <w:szCs w:val="32"/>
        </w:rPr>
        <w:t>。</w:t>
      </w:r>
      <w:r>
        <w:rPr>
          <w:rFonts w:hint="eastAsia" w:ascii="仿宋_GB2312" w:hAnsi="仿宋_GB2312" w:eastAsia="仿宋_GB2312" w:cs="仿宋_GB2312"/>
          <w:sz w:val="32"/>
          <w:szCs w:val="32"/>
        </w:rPr>
        <w:t>坚持农业产业发展与城市功能提升相互协调，一二三产业进一步深化融合，实现经济发展和社会进步的有机统一。</w:t>
      </w:r>
    </w:p>
    <w:p w14:paraId="1CFCBB19">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386" w:name="_Toc122078290"/>
      <w:bookmarkStart w:id="387" w:name="_Toc26697"/>
      <w:bookmarkStart w:id="388" w:name="_Toc3335"/>
      <w:bookmarkStart w:id="389" w:name="_Toc20459"/>
      <w:bookmarkStart w:id="390" w:name="_Toc13156"/>
      <w:bookmarkStart w:id="391" w:name="_Toc4831_WPSOffice_Level2"/>
      <w:bookmarkStart w:id="392" w:name="_Toc17609"/>
      <w:bookmarkStart w:id="393" w:name="_Toc3840"/>
      <w:bookmarkStart w:id="394" w:name="_Toc2273"/>
      <w:bookmarkStart w:id="395" w:name="_Toc6888"/>
      <w:bookmarkStart w:id="396" w:name="_Toc23814"/>
      <w:bookmarkStart w:id="397" w:name="_Toc29362"/>
      <w:bookmarkStart w:id="398" w:name="_Toc3809"/>
      <w:bookmarkStart w:id="399" w:name="_Toc29161"/>
      <w:bookmarkStart w:id="400" w:name="_Toc4159"/>
      <w:bookmarkStart w:id="401" w:name="_Toc5815"/>
      <w:bookmarkStart w:id="402" w:name="_Toc7821"/>
      <w:bookmarkStart w:id="403" w:name="_Toc10562"/>
      <w:bookmarkStart w:id="404" w:name="_Toc30252"/>
      <w:bookmarkStart w:id="405" w:name="_Toc7669"/>
      <w:bookmarkStart w:id="406" w:name="_Toc22479"/>
      <w:bookmarkStart w:id="407" w:name="_Toc28034"/>
      <w:bookmarkStart w:id="408" w:name="_Toc26066"/>
      <w:bookmarkStart w:id="409" w:name="_Toc459"/>
      <w:bookmarkStart w:id="410" w:name="_Toc31936"/>
      <w:bookmarkStart w:id="411" w:name="_Toc25608"/>
      <w:bookmarkStart w:id="412" w:name="_Toc5721"/>
      <w:bookmarkStart w:id="413" w:name="_Toc8043"/>
      <w:bookmarkStart w:id="414" w:name="_Toc12379"/>
      <w:bookmarkStart w:id="415" w:name="_Toc30877"/>
      <w:bookmarkStart w:id="416" w:name="_Toc1788"/>
      <w:bookmarkStart w:id="417" w:name="_Toc954539329_WPSOffice_Level2"/>
      <w:bookmarkStart w:id="418" w:name="_Toc1406"/>
      <w:bookmarkStart w:id="419" w:name="_Toc6383"/>
      <w:bookmarkStart w:id="420" w:name="_Toc104110335"/>
      <w:bookmarkStart w:id="421" w:name="_Toc19091"/>
      <w:bookmarkStart w:id="422" w:name="_Toc23236"/>
      <w:bookmarkStart w:id="423" w:name="_Toc12723"/>
      <w:bookmarkStart w:id="424" w:name="_Toc11496"/>
      <w:bookmarkStart w:id="425" w:name="_Toc1417"/>
      <w:bookmarkStart w:id="426" w:name="_Toc21803"/>
      <w:bookmarkStart w:id="427" w:name="_Toc14167"/>
      <w:bookmarkStart w:id="428" w:name="_Toc25832"/>
      <w:bookmarkStart w:id="429" w:name="_Toc31300"/>
      <w:bookmarkStart w:id="430" w:name="_Toc17812"/>
      <w:bookmarkStart w:id="431" w:name="_Toc16954"/>
      <w:bookmarkStart w:id="432" w:name="_Toc3739"/>
      <w:bookmarkStart w:id="433" w:name="_Toc27396"/>
      <w:bookmarkStart w:id="434" w:name="_Toc23266"/>
      <w:bookmarkStart w:id="435" w:name="_Toc26648"/>
      <w:bookmarkStart w:id="436" w:name="_Toc24421"/>
      <w:bookmarkStart w:id="437" w:name="_Toc20635"/>
      <w:bookmarkStart w:id="438" w:name="_Toc17086"/>
      <w:bookmarkStart w:id="439" w:name="_Toc3415"/>
      <w:r>
        <w:rPr>
          <w:rFonts w:hint="eastAsia" w:ascii="黑体" w:hAnsi="黑体" w:eastAsia="黑体" w:cs="黑体"/>
          <w:b w:val="0"/>
          <w:bCs/>
          <w:sz w:val="32"/>
          <w:szCs w:val="32"/>
        </w:rPr>
        <w:t>三、发展目标</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8C24F4A">
      <w:pPr>
        <w:pageBreakBefore w:val="0"/>
        <w:kinsoku/>
        <w:wordWrap/>
        <w:topLinePunct w:val="0"/>
        <w:autoSpaceDE/>
        <w:autoSpaceDN/>
        <w:bidi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着力实施“12345”工程，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间，做强1个国家级现代农业产业园，叫响七里海生态农业、宁河民宿2个品牌，打造3个以上美丽乡村示范镇和30个农文旅示范发展示范村，做优东菜、西粮、南水、北牧4大农业板块，壮大种稻、种猪、种鱼、种蟹、种苗5大特色产业，落实农村人居环境整治提升五年行动，全面提升农村人居环境质量，</w:t>
      </w:r>
      <w:bookmarkStart w:id="440" w:name="_Toc21384_WPSOffice_Level3"/>
      <w:r>
        <w:rPr>
          <w:rFonts w:hint="eastAsia" w:ascii="仿宋_GB2312" w:hAnsi="仿宋_GB2312" w:eastAsia="仿宋_GB2312" w:cs="仿宋_GB2312"/>
          <w:sz w:val="32"/>
          <w:szCs w:val="32"/>
        </w:rPr>
        <w:t>围绕乡村振兴这条主线，围绕农民增收致富这个核心，补短板、强弱项，做好“生态立区”“乡村振兴”这篇大文章，到2025年末，把宁河建成农业现代化示范区、乡村振兴示范区、种业强区。</w:t>
      </w:r>
    </w:p>
    <w:p w14:paraId="33CA993F">
      <w:pPr>
        <w:pageBreakBefore w:val="0"/>
        <w:kinsoku/>
        <w:wordWrap/>
        <w:topLinePunct w:val="0"/>
        <w:autoSpaceDE/>
        <w:autoSpaceDN/>
        <w:bidi w:val="0"/>
        <w:spacing w:line="560" w:lineRule="exact"/>
        <w:ind w:firstLine="643"/>
        <w:rPr>
          <w:rFonts w:hint="eastAsia" w:ascii="仿宋_GB2312" w:hAnsi="仿宋_GB2312" w:eastAsia="仿宋_GB2312" w:cs="仿宋_GB2312"/>
          <w:bCs/>
          <w:sz w:val="32"/>
          <w:szCs w:val="32"/>
        </w:rPr>
      </w:pPr>
      <w:r>
        <w:rPr>
          <w:rFonts w:hint="eastAsia" w:ascii="楷体" w:hAnsi="楷体" w:eastAsia="楷体" w:cs="楷体"/>
          <w:b w:val="0"/>
          <w:bCs/>
          <w:sz w:val="32"/>
          <w:szCs w:val="32"/>
        </w:rPr>
        <w:t>（一）农业发展目标</w:t>
      </w:r>
      <w:bookmarkEnd w:id="440"/>
      <w:r>
        <w:rPr>
          <w:rFonts w:hint="eastAsia" w:ascii="楷体" w:hAnsi="楷体" w:eastAsia="楷体" w:cs="楷体"/>
          <w:b w:val="0"/>
          <w:bCs/>
          <w:sz w:val="32"/>
          <w:szCs w:val="32"/>
        </w:rPr>
        <w:t>：</w:t>
      </w:r>
      <w:r>
        <w:rPr>
          <w:rFonts w:hint="eastAsia" w:ascii="仿宋_GB2312" w:hAnsi="仿宋_GB2312" w:eastAsia="仿宋_GB2312" w:cs="仿宋_GB2312"/>
          <w:bCs/>
          <w:sz w:val="32"/>
          <w:szCs w:val="32"/>
        </w:rPr>
        <w:t>农业产业结构不断优化，农作物品种不断调优，种养殖业向绿色化、标准化、规模化方向发展，突出宁河区</w:t>
      </w:r>
      <w:r>
        <w:rPr>
          <w:rFonts w:hint="eastAsia" w:ascii="仿宋_GB2312" w:hAnsi="仿宋_GB2312" w:eastAsia="仿宋_GB2312" w:cs="仿宋_GB2312"/>
          <w:sz w:val="32"/>
          <w:szCs w:val="32"/>
        </w:rPr>
        <w:t>“三红两紫一青四白”</w:t>
      </w:r>
      <w:r>
        <w:rPr>
          <w:rFonts w:hint="eastAsia" w:ascii="仿宋_GB2312" w:hAnsi="仿宋_GB2312" w:eastAsia="仿宋_GB2312" w:cs="仿宋_GB2312"/>
          <w:bCs/>
          <w:sz w:val="32"/>
          <w:szCs w:val="32"/>
        </w:rPr>
        <w:t>十大农产品品种优良、特色鲜明、质量安全的规模化生产优势，完善农业产业链，形成“农业+”的现代农业产业模式，促进农业一二三产深度融合。到</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十四五</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末，建成高标准农田61万亩，水稻种植面积由25万亩增加到30万亩，产值达到7.5亿元。粮食和重要农产品产能建设持续增强，粮食综合生产能力保持在28万吨以上，地理标识农产品品牌达到2个，产地农产品抽检合格率达到98%。农业技术装备和科技创新能力持续提升，农业科技进步贡献率达到72%，农作物耕种收综合机械化率达到91%。现代种业创新发展，认定农作物畜禽水产良种繁育基地9个。农业信息化水平不断提高，农村改革不断深化，多种形式土地适度规模经营比重达到90%以上。打造20个市级以上家庭农场。建成30家重点龙头企业和新型经营主体。农业产业规模达到40亿元，产业链中带动绿色食品产业链产业规模达到12亿元，重点农业企业销售收入达到12亿元，对农户支出总额达到2.9亿元。</w:t>
      </w:r>
    </w:p>
    <w:p w14:paraId="58065F78">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441" w:name="_Toc32322_WPSOffice_Level3"/>
      <w:r>
        <w:rPr>
          <w:rFonts w:hint="eastAsia" w:ascii="楷体" w:hAnsi="楷体" w:eastAsia="楷体" w:cs="楷体"/>
          <w:b w:val="0"/>
          <w:bCs/>
          <w:sz w:val="32"/>
          <w:szCs w:val="32"/>
        </w:rPr>
        <w:t>（二）农村发展目标</w:t>
      </w:r>
      <w:bookmarkEnd w:id="441"/>
      <w:r>
        <w:rPr>
          <w:rFonts w:hint="eastAsia" w:ascii="楷体" w:hAnsi="楷体" w:eastAsia="楷体" w:cs="楷体"/>
          <w:b w:val="0"/>
          <w:bCs/>
          <w:sz w:val="32"/>
          <w:szCs w:val="32"/>
        </w:rPr>
        <w:t>：</w:t>
      </w:r>
      <w:r>
        <w:rPr>
          <w:rFonts w:hint="eastAsia" w:ascii="仿宋_GB2312" w:hAnsi="仿宋_GB2312" w:eastAsia="仿宋_GB2312" w:cs="仿宋_GB2312"/>
          <w:sz w:val="32"/>
          <w:szCs w:val="32"/>
        </w:rPr>
        <w:t>对标对表《天津市乡村振兴“三美四乡”建设标准和评价指标（试行）》（津农组办发〔2022〕1号）确定的乡村振兴示范村“三美”创建标准，逐项对照建设要求，打造3个以上美丽乡村示范镇和30个农文旅融合发展示范村，不断加大对宁河区村庄基础设施建设，达到现代化农村环境整洁、优美、健康、有序的标准，提升人居环境整治质量与水平。完善乡村配套服务设施建设、提高服务水平和服务质量，促进农村现代化建设的进程。实施改造农村户厕、污水处理管网全覆盖及垃圾无害化处理设施建设。进一步稳慎推进农村基本经营制度、农村土地制度、农村集体产权制度改革、深入推进新型城镇化，将乡村绿化美化与休闲体验旅游等产业有机结合，促进乡风文明、农村富裕。</w:t>
      </w:r>
    </w:p>
    <w:p w14:paraId="6D3F971F">
      <w:pPr>
        <w:pStyle w:val="43"/>
        <w:pageBreakBefore w:val="0"/>
        <w:kinsoku/>
        <w:wordWrap/>
        <w:topLinePunct w:val="0"/>
        <w:autoSpaceDE/>
        <w:autoSpaceDN/>
        <w:bidi w:val="0"/>
        <w:adjustRightInd w:val="0"/>
        <w:snapToGrid w:val="0"/>
        <w:spacing w:line="560" w:lineRule="exact"/>
        <w:ind w:firstLine="0" w:firstLineChars="0"/>
        <w:jc w:val="center"/>
        <w:rPr>
          <w:rFonts w:hint="eastAsia" w:ascii="仿宋_GB2312" w:hAnsi="仿宋_GB2312" w:eastAsia="仿宋_GB2312" w:cs="仿宋_GB2312"/>
          <w:sz w:val="32"/>
          <w:szCs w:val="32"/>
        </w:rPr>
      </w:pPr>
      <w:bookmarkStart w:id="442" w:name="_Toc1910738784_WPSOffice_Level2"/>
      <w:r>
        <w:rPr>
          <w:rFonts w:hint="eastAsia" w:ascii="仿宋_GB2312" w:hAnsi="仿宋_GB2312" w:eastAsia="仿宋_GB2312" w:cs="仿宋_GB2312"/>
          <w:sz w:val="32"/>
          <w:szCs w:val="32"/>
        </w:rPr>
        <w:t>宁河区农业农村发展“十四五”规划指标</w:t>
      </w:r>
      <w:bookmarkEnd w:id="442"/>
    </w:p>
    <w:p w14:paraId="7CF9F780">
      <w:pPr>
        <w:pStyle w:val="43"/>
        <w:pageBreakBefore w:val="0"/>
        <w:kinsoku/>
        <w:wordWrap/>
        <w:topLinePunct w:val="0"/>
        <w:autoSpaceDE/>
        <w:autoSpaceDN/>
        <w:bidi w:val="0"/>
        <w:adjustRightInd w:val="0"/>
        <w:snapToGrid w:val="0"/>
        <w:spacing w:line="560" w:lineRule="exact"/>
        <w:ind w:firstLine="0" w:firstLineChars="0"/>
        <w:jc w:val="center"/>
        <w:rPr>
          <w:rFonts w:hint="eastAsia" w:ascii="仿宋_GB2312" w:hAnsi="仿宋_GB2312" w:eastAsia="仿宋_GB2312" w:cs="仿宋_GB2312"/>
          <w:sz w:val="32"/>
          <w:szCs w:val="32"/>
        </w:rPr>
      </w:pPr>
    </w:p>
    <w:tbl>
      <w:tblPr>
        <w:tblStyle w:val="22"/>
        <w:tblW w:w="830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677"/>
        <w:gridCol w:w="3260"/>
        <w:gridCol w:w="915"/>
        <w:gridCol w:w="1011"/>
        <w:gridCol w:w="950"/>
        <w:gridCol w:w="850"/>
      </w:tblGrid>
      <w:tr w14:paraId="491D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3" w:type="dxa"/>
            <w:shd w:val="clear" w:color="auto" w:fill="auto"/>
            <w:vAlign w:val="center"/>
          </w:tcPr>
          <w:p w14:paraId="22B3F151">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分类</w:t>
            </w:r>
          </w:p>
        </w:tc>
        <w:tc>
          <w:tcPr>
            <w:tcW w:w="677" w:type="dxa"/>
            <w:shd w:val="clear" w:color="auto" w:fill="auto"/>
            <w:vAlign w:val="center"/>
          </w:tcPr>
          <w:p w14:paraId="7C487B8E">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序号</w:t>
            </w:r>
          </w:p>
        </w:tc>
        <w:tc>
          <w:tcPr>
            <w:tcW w:w="3260" w:type="dxa"/>
            <w:shd w:val="clear" w:color="auto" w:fill="auto"/>
            <w:vAlign w:val="center"/>
          </w:tcPr>
          <w:p w14:paraId="26596658">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主要指标</w:t>
            </w:r>
          </w:p>
        </w:tc>
        <w:tc>
          <w:tcPr>
            <w:tcW w:w="915" w:type="dxa"/>
            <w:shd w:val="clear" w:color="auto" w:fill="auto"/>
            <w:vAlign w:val="center"/>
          </w:tcPr>
          <w:p w14:paraId="35C7D789">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单位</w:t>
            </w:r>
          </w:p>
        </w:tc>
        <w:tc>
          <w:tcPr>
            <w:tcW w:w="1011" w:type="dxa"/>
            <w:shd w:val="clear" w:color="auto" w:fill="auto"/>
            <w:vAlign w:val="center"/>
          </w:tcPr>
          <w:p w14:paraId="2D035F25">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2020年</w:t>
            </w:r>
          </w:p>
          <w:p w14:paraId="771D8DE5">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基期值</w:t>
            </w:r>
          </w:p>
        </w:tc>
        <w:tc>
          <w:tcPr>
            <w:tcW w:w="950" w:type="dxa"/>
            <w:shd w:val="clear" w:color="auto" w:fill="auto"/>
            <w:vAlign w:val="center"/>
          </w:tcPr>
          <w:p w14:paraId="1C3BA173">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2025年</w:t>
            </w:r>
          </w:p>
          <w:p w14:paraId="64BF74D4">
            <w:pPr>
              <w:keepNext w:val="0"/>
              <w:keepLines w:val="0"/>
              <w:pageBreakBefore w:val="0"/>
              <w:widowControl/>
              <w:kinsoku/>
              <w:wordWrap/>
              <w:overflowPunct/>
              <w:topLinePunct w:val="0"/>
              <w:autoSpaceDE/>
              <w:autoSpaceDN/>
              <w:bidi w:val="0"/>
              <w:adjustRightInd w:val="0"/>
              <w:snapToGrid w:val="0"/>
              <w:spacing w:line="400" w:lineRule="exact"/>
              <w:ind w:left="-118" w:leftChars="-37" w:firstLine="0" w:firstLine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目标值</w:t>
            </w:r>
          </w:p>
        </w:tc>
        <w:tc>
          <w:tcPr>
            <w:tcW w:w="850" w:type="dxa"/>
            <w:shd w:val="clear" w:color="auto" w:fill="auto"/>
            <w:vAlign w:val="center"/>
          </w:tcPr>
          <w:p w14:paraId="16BA62E5">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属性</w:t>
            </w:r>
          </w:p>
        </w:tc>
      </w:tr>
      <w:tr w14:paraId="6498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restart"/>
            <w:shd w:val="clear" w:color="auto" w:fill="auto"/>
            <w:vAlign w:val="center"/>
          </w:tcPr>
          <w:p w14:paraId="5BC6EC87">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农业产业</w:t>
            </w:r>
          </w:p>
        </w:tc>
        <w:tc>
          <w:tcPr>
            <w:tcW w:w="677" w:type="dxa"/>
            <w:shd w:val="clear" w:color="auto" w:fill="auto"/>
            <w:vAlign w:val="center"/>
          </w:tcPr>
          <w:p w14:paraId="3A0C0006">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w:t>
            </w:r>
          </w:p>
        </w:tc>
        <w:tc>
          <w:tcPr>
            <w:tcW w:w="3260" w:type="dxa"/>
            <w:shd w:val="clear" w:color="auto" w:fill="auto"/>
            <w:vAlign w:val="center"/>
          </w:tcPr>
          <w:p w14:paraId="400D8FEE">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粮食生产功能区</w:t>
            </w:r>
          </w:p>
        </w:tc>
        <w:tc>
          <w:tcPr>
            <w:tcW w:w="915" w:type="dxa"/>
            <w:shd w:val="clear" w:color="auto" w:fill="auto"/>
            <w:vAlign w:val="center"/>
          </w:tcPr>
          <w:p w14:paraId="67DA7A71">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万亩</w:t>
            </w:r>
          </w:p>
        </w:tc>
        <w:tc>
          <w:tcPr>
            <w:tcW w:w="1011" w:type="dxa"/>
            <w:shd w:val="clear" w:color="auto" w:fill="auto"/>
            <w:vAlign w:val="center"/>
          </w:tcPr>
          <w:p w14:paraId="3E143CBB">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6</w:t>
            </w:r>
          </w:p>
        </w:tc>
        <w:tc>
          <w:tcPr>
            <w:tcW w:w="950" w:type="dxa"/>
            <w:shd w:val="clear" w:color="auto" w:fill="auto"/>
            <w:vAlign w:val="center"/>
          </w:tcPr>
          <w:p w14:paraId="7482790C">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6</w:t>
            </w:r>
          </w:p>
        </w:tc>
        <w:tc>
          <w:tcPr>
            <w:tcW w:w="850" w:type="dxa"/>
            <w:shd w:val="clear" w:color="auto" w:fill="auto"/>
            <w:vAlign w:val="center"/>
          </w:tcPr>
          <w:p w14:paraId="14535CB8">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约束性</w:t>
            </w:r>
          </w:p>
        </w:tc>
      </w:tr>
      <w:tr w14:paraId="6FD4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noWrap/>
            <w:vAlign w:val="center"/>
          </w:tcPr>
          <w:p w14:paraId="0508F0E4">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4948FC88">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w:t>
            </w:r>
          </w:p>
        </w:tc>
        <w:tc>
          <w:tcPr>
            <w:tcW w:w="3260" w:type="dxa"/>
            <w:shd w:val="clear" w:color="auto" w:fill="auto"/>
            <w:vAlign w:val="center"/>
          </w:tcPr>
          <w:p w14:paraId="16C013E6">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蔬菜种植面积</w:t>
            </w:r>
          </w:p>
        </w:tc>
        <w:tc>
          <w:tcPr>
            <w:tcW w:w="915" w:type="dxa"/>
            <w:shd w:val="clear" w:color="auto" w:fill="auto"/>
            <w:vAlign w:val="center"/>
          </w:tcPr>
          <w:p w14:paraId="39E83B87">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万亩</w:t>
            </w:r>
          </w:p>
        </w:tc>
        <w:tc>
          <w:tcPr>
            <w:tcW w:w="1011" w:type="dxa"/>
            <w:shd w:val="clear" w:color="auto" w:fill="auto"/>
            <w:vAlign w:val="center"/>
          </w:tcPr>
          <w:p w14:paraId="219B11A9">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5.67</w:t>
            </w:r>
          </w:p>
        </w:tc>
        <w:tc>
          <w:tcPr>
            <w:tcW w:w="950" w:type="dxa"/>
            <w:shd w:val="clear" w:color="auto" w:fill="auto"/>
            <w:vAlign w:val="center"/>
          </w:tcPr>
          <w:p w14:paraId="5C445EEB">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7.5</w:t>
            </w:r>
          </w:p>
        </w:tc>
        <w:tc>
          <w:tcPr>
            <w:tcW w:w="850" w:type="dxa"/>
            <w:shd w:val="clear" w:color="auto" w:fill="auto"/>
            <w:vAlign w:val="center"/>
          </w:tcPr>
          <w:p w14:paraId="1AF554B2">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预期性</w:t>
            </w:r>
          </w:p>
        </w:tc>
      </w:tr>
      <w:tr w14:paraId="1C9F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noWrap/>
            <w:vAlign w:val="center"/>
          </w:tcPr>
          <w:p w14:paraId="3E889370">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6138EB22">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w:t>
            </w:r>
          </w:p>
        </w:tc>
        <w:tc>
          <w:tcPr>
            <w:tcW w:w="3260" w:type="dxa"/>
            <w:shd w:val="clear" w:color="auto" w:fill="auto"/>
            <w:vAlign w:val="center"/>
          </w:tcPr>
          <w:p w14:paraId="21B9E0A1">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农业亩均综合收益</w:t>
            </w:r>
          </w:p>
        </w:tc>
        <w:tc>
          <w:tcPr>
            <w:tcW w:w="915" w:type="dxa"/>
            <w:shd w:val="clear" w:color="auto" w:fill="auto"/>
            <w:vAlign w:val="center"/>
          </w:tcPr>
          <w:p w14:paraId="3D42A58F">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元/亩</w:t>
            </w:r>
          </w:p>
        </w:tc>
        <w:tc>
          <w:tcPr>
            <w:tcW w:w="1011" w:type="dxa"/>
            <w:shd w:val="clear" w:color="auto" w:fill="auto"/>
            <w:vAlign w:val="center"/>
          </w:tcPr>
          <w:p w14:paraId="696271E7">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5000</w:t>
            </w:r>
          </w:p>
        </w:tc>
        <w:tc>
          <w:tcPr>
            <w:tcW w:w="950" w:type="dxa"/>
            <w:shd w:val="clear" w:color="auto" w:fill="auto"/>
            <w:vAlign w:val="center"/>
          </w:tcPr>
          <w:p w14:paraId="767307D2">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8000</w:t>
            </w:r>
          </w:p>
        </w:tc>
        <w:tc>
          <w:tcPr>
            <w:tcW w:w="850" w:type="dxa"/>
            <w:shd w:val="clear" w:color="auto" w:fill="auto"/>
            <w:vAlign w:val="center"/>
          </w:tcPr>
          <w:p w14:paraId="4B0FACEE">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预期性</w:t>
            </w:r>
          </w:p>
        </w:tc>
      </w:tr>
      <w:tr w14:paraId="32D0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noWrap/>
            <w:vAlign w:val="center"/>
          </w:tcPr>
          <w:p w14:paraId="721A6FA8">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42056888">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w:t>
            </w:r>
          </w:p>
        </w:tc>
        <w:tc>
          <w:tcPr>
            <w:tcW w:w="3260" w:type="dxa"/>
            <w:shd w:val="clear" w:color="auto" w:fill="auto"/>
            <w:vAlign w:val="center"/>
          </w:tcPr>
          <w:p w14:paraId="405E371C">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粮食综合生产能力</w:t>
            </w:r>
          </w:p>
        </w:tc>
        <w:tc>
          <w:tcPr>
            <w:tcW w:w="915" w:type="dxa"/>
            <w:shd w:val="clear" w:color="auto" w:fill="auto"/>
            <w:vAlign w:val="center"/>
          </w:tcPr>
          <w:p w14:paraId="40D529E5">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万吨</w:t>
            </w:r>
          </w:p>
        </w:tc>
        <w:tc>
          <w:tcPr>
            <w:tcW w:w="1011" w:type="dxa"/>
            <w:shd w:val="clear" w:color="auto" w:fill="auto"/>
            <w:vAlign w:val="center"/>
          </w:tcPr>
          <w:p w14:paraId="14A269A3">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26.63</w:t>
            </w:r>
          </w:p>
        </w:tc>
        <w:tc>
          <w:tcPr>
            <w:tcW w:w="950" w:type="dxa"/>
            <w:shd w:val="clear" w:color="auto" w:fill="auto"/>
            <w:vAlign w:val="center"/>
          </w:tcPr>
          <w:p w14:paraId="4D370B1F">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&gt;28</w:t>
            </w:r>
          </w:p>
        </w:tc>
        <w:tc>
          <w:tcPr>
            <w:tcW w:w="850" w:type="dxa"/>
            <w:shd w:val="clear" w:color="auto" w:fill="auto"/>
            <w:vAlign w:val="center"/>
          </w:tcPr>
          <w:p w14:paraId="3E016892">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约束性</w:t>
            </w:r>
          </w:p>
        </w:tc>
      </w:tr>
      <w:tr w14:paraId="6A3C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noWrap/>
            <w:vAlign w:val="center"/>
          </w:tcPr>
          <w:p w14:paraId="1E84FA4C">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36D666B4">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5</w:t>
            </w:r>
          </w:p>
        </w:tc>
        <w:tc>
          <w:tcPr>
            <w:tcW w:w="3260" w:type="dxa"/>
            <w:shd w:val="clear" w:color="auto" w:fill="auto"/>
            <w:vAlign w:val="center"/>
          </w:tcPr>
          <w:p w14:paraId="54154A23">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水稻种植面积</w:t>
            </w:r>
          </w:p>
        </w:tc>
        <w:tc>
          <w:tcPr>
            <w:tcW w:w="915" w:type="dxa"/>
            <w:shd w:val="clear" w:color="auto" w:fill="auto"/>
            <w:vAlign w:val="center"/>
          </w:tcPr>
          <w:p w14:paraId="10B9F524">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万亩</w:t>
            </w:r>
          </w:p>
        </w:tc>
        <w:tc>
          <w:tcPr>
            <w:tcW w:w="1011" w:type="dxa"/>
            <w:shd w:val="clear" w:color="auto" w:fill="auto"/>
            <w:vAlign w:val="center"/>
          </w:tcPr>
          <w:p w14:paraId="2AF1B112">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25</w:t>
            </w:r>
          </w:p>
        </w:tc>
        <w:tc>
          <w:tcPr>
            <w:tcW w:w="950" w:type="dxa"/>
            <w:shd w:val="clear" w:color="auto" w:fill="auto"/>
            <w:vAlign w:val="center"/>
          </w:tcPr>
          <w:p w14:paraId="33B196F7">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30</w:t>
            </w:r>
          </w:p>
        </w:tc>
        <w:tc>
          <w:tcPr>
            <w:tcW w:w="850" w:type="dxa"/>
            <w:shd w:val="clear" w:color="auto" w:fill="auto"/>
            <w:vAlign w:val="center"/>
          </w:tcPr>
          <w:p w14:paraId="19D70762">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预期性</w:t>
            </w:r>
          </w:p>
        </w:tc>
      </w:tr>
      <w:tr w14:paraId="570C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noWrap/>
            <w:vAlign w:val="center"/>
          </w:tcPr>
          <w:p w14:paraId="2027D76A">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213C90A9">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6</w:t>
            </w:r>
          </w:p>
        </w:tc>
        <w:tc>
          <w:tcPr>
            <w:tcW w:w="3260" w:type="dxa"/>
            <w:shd w:val="clear" w:color="auto" w:fill="auto"/>
            <w:vAlign w:val="center"/>
          </w:tcPr>
          <w:p w14:paraId="71842CF9">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生猪出栏</w:t>
            </w:r>
          </w:p>
        </w:tc>
        <w:tc>
          <w:tcPr>
            <w:tcW w:w="915" w:type="dxa"/>
            <w:shd w:val="clear" w:color="auto" w:fill="auto"/>
            <w:vAlign w:val="center"/>
          </w:tcPr>
          <w:p w14:paraId="76AA8867">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万头</w:t>
            </w:r>
          </w:p>
        </w:tc>
        <w:tc>
          <w:tcPr>
            <w:tcW w:w="1011" w:type="dxa"/>
            <w:shd w:val="clear" w:color="auto" w:fill="auto"/>
            <w:vAlign w:val="center"/>
          </w:tcPr>
          <w:p w14:paraId="0A4081D3">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46</w:t>
            </w:r>
          </w:p>
        </w:tc>
        <w:tc>
          <w:tcPr>
            <w:tcW w:w="950" w:type="dxa"/>
            <w:shd w:val="clear" w:color="auto" w:fill="auto"/>
            <w:vAlign w:val="center"/>
          </w:tcPr>
          <w:p w14:paraId="7BE0E94D">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48</w:t>
            </w:r>
          </w:p>
        </w:tc>
        <w:tc>
          <w:tcPr>
            <w:tcW w:w="850" w:type="dxa"/>
            <w:shd w:val="clear" w:color="auto" w:fill="auto"/>
            <w:vAlign w:val="center"/>
          </w:tcPr>
          <w:p w14:paraId="2B94EE84">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预期性</w:t>
            </w:r>
          </w:p>
        </w:tc>
      </w:tr>
      <w:tr w14:paraId="1869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noWrap/>
            <w:vAlign w:val="center"/>
          </w:tcPr>
          <w:p w14:paraId="354C76B6">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1FAD5D93">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7</w:t>
            </w:r>
          </w:p>
        </w:tc>
        <w:tc>
          <w:tcPr>
            <w:tcW w:w="3260" w:type="dxa"/>
            <w:shd w:val="clear" w:color="auto" w:fill="auto"/>
            <w:vAlign w:val="center"/>
          </w:tcPr>
          <w:p w14:paraId="64C04923">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新建改造提升高标准农田面积</w:t>
            </w:r>
          </w:p>
        </w:tc>
        <w:tc>
          <w:tcPr>
            <w:tcW w:w="915" w:type="dxa"/>
            <w:shd w:val="clear" w:color="auto" w:fill="auto"/>
            <w:vAlign w:val="center"/>
          </w:tcPr>
          <w:p w14:paraId="320C0034">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万亩</w:t>
            </w:r>
          </w:p>
        </w:tc>
        <w:tc>
          <w:tcPr>
            <w:tcW w:w="1011" w:type="dxa"/>
            <w:shd w:val="clear" w:color="auto" w:fill="auto"/>
            <w:vAlign w:val="center"/>
          </w:tcPr>
          <w:p w14:paraId="533C1ABB">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30</w:t>
            </w:r>
          </w:p>
        </w:tc>
        <w:tc>
          <w:tcPr>
            <w:tcW w:w="950" w:type="dxa"/>
            <w:shd w:val="clear" w:color="auto" w:fill="auto"/>
            <w:vAlign w:val="center"/>
          </w:tcPr>
          <w:p w14:paraId="06B68ABB">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61</w:t>
            </w:r>
          </w:p>
        </w:tc>
        <w:tc>
          <w:tcPr>
            <w:tcW w:w="850" w:type="dxa"/>
            <w:shd w:val="clear" w:color="auto" w:fill="auto"/>
            <w:vAlign w:val="center"/>
          </w:tcPr>
          <w:p w14:paraId="651E420C">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约束性</w:t>
            </w:r>
          </w:p>
        </w:tc>
      </w:tr>
      <w:tr w14:paraId="11E3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noWrap/>
            <w:vAlign w:val="center"/>
          </w:tcPr>
          <w:p w14:paraId="43AFDC61">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75828B8F">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8</w:t>
            </w:r>
          </w:p>
        </w:tc>
        <w:tc>
          <w:tcPr>
            <w:tcW w:w="3260" w:type="dxa"/>
            <w:shd w:val="clear" w:color="auto" w:fill="auto"/>
            <w:vAlign w:val="center"/>
          </w:tcPr>
          <w:p w14:paraId="47117700">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农业科技进步贡献率</w:t>
            </w:r>
          </w:p>
        </w:tc>
        <w:tc>
          <w:tcPr>
            <w:tcW w:w="915" w:type="dxa"/>
            <w:shd w:val="clear" w:color="auto" w:fill="auto"/>
            <w:vAlign w:val="center"/>
          </w:tcPr>
          <w:p w14:paraId="76A07BA5">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w:t>
            </w:r>
          </w:p>
        </w:tc>
        <w:tc>
          <w:tcPr>
            <w:tcW w:w="1011" w:type="dxa"/>
            <w:shd w:val="clear" w:color="auto" w:fill="auto"/>
            <w:vAlign w:val="center"/>
          </w:tcPr>
          <w:p w14:paraId="0CA65206">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68</w:t>
            </w:r>
          </w:p>
        </w:tc>
        <w:tc>
          <w:tcPr>
            <w:tcW w:w="950" w:type="dxa"/>
            <w:shd w:val="clear" w:color="auto" w:fill="auto"/>
            <w:vAlign w:val="center"/>
          </w:tcPr>
          <w:p w14:paraId="2EE2E841">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72</w:t>
            </w:r>
          </w:p>
        </w:tc>
        <w:tc>
          <w:tcPr>
            <w:tcW w:w="850" w:type="dxa"/>
            <w:shd w:val="clear" w:color="auto" w:fill="auto"/>
            <w:vAlign w:val="center"/>
          </w:tcPr>
          <w:p w14:paraId="7F248C29">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预期性</w:t>
            </w:r>
          </w:p>
        </w:tc>
      </w:tr>
      <w:tr w14:paraId="6DA2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noWrap/>
            <w:vAlign w:val="center"/>
          </w:tcPr>
          <w:p w14:paraId="12084FD6">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4BC2C3A1">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9</w:t>
            </w:r>
          </w:p>
        </w:tc>
        <w:tc>
          <w:tcPr>
            <w:tcW w:w="3260" w:type="dxa"/>
            <w:shd w:val="clear" w:color="auto" w:fill="auto"/>
            <w:vAlign w:val="center"/>
          </w:tcPr>
          <w:p w14:paraId="65456BDF">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主要农作物和畜禽良种覆盖率</w:t>
            </w:r>
          </w:p>
        </w:tc>
        <w:tc>
          <w:tcPr>
            <w:tcW w:w="915" w:type="dxa"/>
            <w:shd w:val="clear" w:color="auto" w:fill="auto"/>
            <w:vAlign w:val="center"/>
          </w:tcPr>
          <w:p w14:paraId="7408215C">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w:t>
            </w:r>
          </w:p>
        </w:tc>
        <w:tc>
          <w:tcPr>
            <w:tcW w:w="1011" w:type="dxa"/>
            <w:shd w:val="clear" w:color="auto" w:fill="auto"/>
            <w:vAlign w:val="center"/>
          </w:tcPr>
          <w:p w14:paraId="505DDBB7">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96</w:t>
            </w:r>
          </w:p>
        </w:tc>
        <w:tc>
          <w:tcPr>
            <w:tcW w:w="950" w:type="dxa"/>
            <w:shd w:val="clear" w:color="auto" w:fill="auto"/>
            <w:vAlign w:val="center"/>
          </w:tcPr>
          <w:p w14:paraId="340927E2">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100</w:t>
            </w:r>
          </w:p>
        </w:tc>
        <w:tc>
          <w:tcPr>
            <w:tcW w:w="850" w:type="dxa"/>
            <w:shd w:val="clear" w:color="auto" w:fill="auto"/>
            <w:vAlign w:val="center"/>
          </w:tcPr>
          <w:p w14:paraId="6A73ABA0">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预期性</w:t>
            </w:r>
          </w:p>
        </w:tc>
      </w:tr>
      <w:tr w14:paraId="4477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noWrap/>
            <w:vAlign w:val="center"/>
          </w:tcPr>
          <w:p w14:paraId="55A2172B">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096059A4">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10</w:t>
            </w:r>
          </w:p>
        </w:tc>
        <w:tc>
          <w:tcPr>
            <w:tcW w:w="3260" w:type="dxa"/>
            <w:shd w:val="clear" w:color="auto" w:fill="auto"/>
            <w:vAlign w:val="center"/>
          </w:tcPr>
          <w:p w14:paraId="1AC91047">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农作物耕种收综合机械化率</w:t>
            </w:r>
          </w:p>
        </w:tc>
        <w:tc>
          <w:tcPr>
            <w:tcW w:w="915" w:type="dxa"/>
            <w:shd w:val="clear" w:color="auto" w:fill="auto"/>
            <w:vAlign w:val="center"/>
          </w:tcPr>
          <w:p w14:paraId="680C5077">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w:t>
            </w:r>
          </w:p>
        </w:tc>
        <w:tc>
          <w:tcPr>
            <w:tcW w:w="1011" w:type="dxa"/>
            <w:shd w:val="clear" w:color="auto" w:fill="auto"/>
            <w:vAlign w:val="center"/>
          </w:tcPr>
          <w:p w14:paraId="45AF0B31">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90</w:t>
            </w:r>
          </w:p>
        </w:tc>
        <w:tc>
          <w:tcPr>
            <w:tcW w:w="950" w:type="dxa"/>
            <w:shd w:val="clear" w:color="auto" w:fill="auto"/>
            <w:vAlign w:val="center"/>
          </w:tcPr>
          <w:p w14:paraId="65EE4351">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91</w:t>
            </w:r>
          </w:p>
        </w:tc>
        <w:tc>
          <w:tcPr>
            <w:tcW w:w="850" w:type="dxa"/>
            <w:shd w:val="clear" w:color="auto" w:fill="auto"/>
            <w:vAlign w:val="center"/>
          </w:tcPr>
          <w:p w14:paraId="5AFC3518">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预期性</w:t>
            </w:r>
          </w:p>
        </w:tc>
      </w:tr>
      <w:tr w14:paraId="63EF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noWrap/>
            <w:vAlign w:val="center"/>
          </w:tcPr>
          <w:p w14:paraId="5B271117">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14C138FD">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11</w:t>
            </w:r>
          </w:p>
        </w:tc>
        <w:tc>
          <w:tcPr>
            <w:tcW w:w="3260" w:type="dxa"/>
            <w:shd w:val="clear" w:color="auto" w:fill="auto"/>
            <w:vAlign w:val="center"/>
          </w:tcPr>
          <w:p w14:paraId="0C7C64C6">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地产农产品质量安全例行监测总体合格率</w:t>
            </w:r>
          </w:p>
        </w:tc>
        <w:tc>
          <w:tcPr>
            <w:tcW w:w="915" w:type="dxa"/>
            <w:shd w:val="clear" w:color="auto" w:fill="auto"/>
            <w:vAlign w:val="center"/>
          </w:tcPr>
          <w:p w14:paraId="3545727B">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w:t>
            </w:r>
          </w:p>
        </w:tc>
        <w:tc>
          <w:tcPr>
            <w:tcW w:w="1011" w:type="dxa"/>
            <w:shd w:val="clear" w:color="auto" w:fill="auto"/>
            <w:vAlign w:val="center"/>
          </w:tcPr>
          <w:p w14:paraId="46C22162">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97</w:t>
            </w:r>
          </w:p>
        </w:tc>
        <w:tc>
          <w:tcPr>
            <w:tcW w:w="950" w:type="dxa"/>
            <w:shd w:val="clear" w:color="auto" w:fill="auto"/>
            <w:vAlign w:val="center"/>
          </w:tcPr>
          <w:p w14:paraId="22E3E166">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&gt;98</w:t>
            </w:r>
          </w:p>
        </w:tc>
        <w:tc>
          <w:tcPr>
            <w:tcW w:w="850" w:type="dxa"/>
            <w:shd w:val="clear" w:color="auto" w:fill="auto"/>
            <w:vAlign w:val="center"/>
          </w:tcPr>
          <w:p w14:paraId="1B12211D">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约束性</w:t>
            </w:r>
          </w:p>
        </w:tc>
      </w:tr>
      <w:tr w14:paraId="4DAC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noWrap/>
            <w:vAlign w:val="center"/>
          </w:tcPr>
          <w:p w14:paraId="39345E03">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0DF1203E">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12</w:t>
            </w:r>
          </w:p>
        </w:tc>
        <w:tc>
          <w:tcPr>
            <w:tcW w:w="3260" w:type="dxa"/>
            <w:shd w:val="clear" w:color="auto" w:fill="auto"/>
            <w:vAlign w:val="center"/>
          </w:tcPr>
          <w:p w14:paraId="7006EFF9">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休闲农业与乡村旅游接待人数</w:t>
            </w:r>
          </w:p>
        </w:tc>
        <w:tc>
          <w:tcPr>
            <w:tcW w:w="915" w:type="dxa"/>
            <w:shd w:val="clear" w:color="auto" w:fill="auto"/>
            <w:vAlign w:val="center"/>
          </w:tcPr>
          <w:p w14:paraId="4C5696EC">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万人次</w:t>
            </w:r>
          </w:p>
        </w:tc>
        <w:tc>
          <w:tcPr>
            <w:tcW w:w="1011" w:type="dxa"/>
            <w:shd w:val="clear" w:color="auto" w:fill="auto"/>
            <w:vAlign w:val="center"/>
          </w:tcPr>
          <w:p w14:paraId="2B013F69">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100</w:t>
            </w:r>
          </w:p>
        </w:tc>
        <w:tc>
          <w:tcPr>
            <w:tcW w:w="950" w:type="dxa"/>
            <w:shd w:val="clear" w:color="auto" w:fill="auto"/>
            <w:vAlign w:val="center"/>
          </w:tcPr>
          <w:p w14:paraId="70E65107">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300</w:t>
            </w:r>
          </w:p>
        </w:tc>
        <w:tc>
          <w:tcPr>
            <w:tcW w:w="850" w:type="dxa"/>
            <w:shd w:val="clear" w:color="auto" w:fill="auto"/>
            <w:vAlign w:val="center"/>
          </w:tcPr>
          <w:p w14:paraId="1A2C342B">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预期性</w:t>
            </w:r>
          </w:p>
        </w:tc>
      </w:tr>
      <w:tr w14:paraId="3910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restart"/>
            <w:shd w:val="clear" w:color="auto" w:fill="auto"/>
            <w:vAlign w:val="center"/>
          </w:tcPr>
          <w:p w14:paraId="020ABEE5">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乡村</w:t>
            </w:r>
          </w:p>
          <w:p w14:paraId="33012601">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宜居</w:t>
            </w:r>
          </w:p>
          <w:p w14:paraId="5127DDF6">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宜业</w:t>
            </w:r>
          </w:p>
        </w:tc>
        <w:tc>
          <w:tcPr>
            <w:tcW w:w="677" w:type="dxa"/>
            <w:shd w:val="clear" w:color="auto" w:fill="auto"/>
            <w:vAlign w:val="center"/>
          </w:tcPr>
          <w:p w14:paraId="04A8F117">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13</w:t>
            </w:r>
          </w:p>
        </w:tc>
        <w:tc>
          <w:tcPr>
            <w:tcW w:w="3260" w:type="dxa"/>
            <w:shd w:val="clear" w:color="auto" w:fill="auto"/>
            <w:vAlign w:val="center"/>
          </w:tcPr>
          <w:p w14:paraId="2F209A04">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美丽村庄数量</w:t>
            </w:r>
          </w:p>
        </w:tc>
        <w:tc>
          <w:tcPr>
            <w:tcW w:w="915" w:type="dxa"/>
            <w:shd w:val="clear" w:color="auto" w:fill="auto"/>
            <w:vAlign w:val="center"/>
          </w:tcPr>
          <w:p w14:paraId="3ECEF097">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个</w:t>
            </w:r>
          </w:p>
        </w:tc>
        <w:tc>
          <w:tcPr>
            <w:tcW w:w="1011" w:type="dxa"/>
            <w:shd w:val="clear" w:color="auto" w:fill="auto"/>
            <w:vAlign w:val="center"/>
          </w:tcPr>
          <w:p w14:paraId="5EDB80C9">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270</w:t>
            </w:r>
          </w:p>
        </w:tc>
        <w:tc>
          <w:tcPr>
            <w:tcW w:w="950" w:type="dxa"/>
            <w:shd w:val="clear" w:color="auto" w:fill="auto"/>
            <w:vAlign w:val="center"/>
          </w:tcPr>
          <w:p w14:paraId="7FB52C53">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270</w:t>
            </w:r>
          </w:p>
        </w:tc>
        <w:tc>
          <w:tcPr>
            <w:tcW w:w="850" w:type="dxa"/>
            <w:shd w:val="clear" w:color="auto" w:fill="auto"/>
            <w:vAlign w:val="center"/>
          </w:tcPr>
          <w:p w14:paraId="023428B7">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预期性</w:t>
            </w:r>
          </w:p>
        </w:tc>
      </w:tr>
      <w:tr w14:paraId="1FED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vAlign w:val="center"/>
          </w:tcPr>
          <w:p w14:paraId="5376D3CC">
            <w:pPr>
              <w:keepNext w:val="0"/>
              <w:keepLines w:val="0"/>
              <w:pageBreakBefore w:val="0"/>
              <w:kinsoku/>
              <w:wordWrap/>
              <w:overflowPunct/>
              <w:topLinePunct w:val="0"/>
              <w:autoSpaceDE/>
              <w:autoSpaceDN/>
              <w:bidi w:val="0"/>
              <w:adjustRightInd w:val="0"/>
              <w:snapToGrid w:val="0"/>
              <w:spacing w:line="400" w:lineRule="exact"/>
              <w:ind w:firstLine="40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00783212">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14</w:t>
            </w:r>
          </w:p>
        </w:tc>
        <w:tc>
          <w:tcPr>
            <w:tcW w:w="3260" w:type="dxa"/>
            <w:shd w:val="clear" w:color="auto" w:fill="auto"/>
            <w:vAlign w:val="center"/>
          </w:tcPr>
          <w:p w14:paraId="09334FBB">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农村垃圾无害化处理率</w:t>
            </w:r>
          </w:p>
        </w:tc>
        <w:tc>
          <w:tcPr>
            <w:tcW w:w="915" w:type="dxa"/>
            <w:shd w:val="clear" w:color="auto" w:fill="auto"/>
            <w:vAlign w:val="center"/>
          </w:tcPr>
          <w:p w14:paraId="5FB82FD6">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w:t>
            </w:r>
          </w:p>
        </w:tc>
        <w:tc>
          <w:tcPr>
            <w:tcW w:w="1011" w:type="dxa"/>
            <w:shd w:val="clear" w:color="auto" w:fill="auto"/>
            <w:vAlign w:val="center"/>
          </w:tcPr>
          <w:p w14:paraId="45DE53A4">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100</w:t>
            </w:r>
          </w:p>
        </w:tc>
        <w:tc>
          <w:tcPr>
            <w:tcW w:w="950" w:type="dxa"/>
            <w:shd w:val="clear" w:color="auto" w:fill="auto"/>
            <w:vAlign w:val="center"/>
          </w:tcPr>
          <w:p w14:paraId="0AB5CCF0">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100</w:t>
            </w:r>
          </w:p>
        </w:tc>
        <w:tc>
          <w:tcPr>
            <w:tcW w:w="850" w:type="dxa"/>
            <w:shd w:val="clear" w:color="auto" w:fill="auto"/>
            <w:vAlign w:val="center"/>
          </w:tcPr>
          <w:p w14:paraId="58BD5820">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预期性</w:t>
            </w:r>
          </w:p>
        </w:tc>
      </w:tr>
      <w:tr w14:paraId="29A3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vAlign w:val="center"/>
          </w:tcPr>
          <w:p w14:paraId="0B4EE549">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059B57B9">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15</w:t>
            </w:r>
          </w:p>
        </w:tc>
        <w:tc>
          <w:tcPr>
            <w:tcW w:w="3260" w:type="dxa"/>
            <w:shd w:val="clear" w:color="auto" w:fill="auto"/>
            <w:vAlign w:val="center"/>
          </w:tcPr>
          <w:p w14:paraId="0EBEBC5F">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生活污水处理设施村庄覆盖率</w:t>
            </w:r>
          </w:p>
        </w:tc>
        <w:tc>
          <w:tcPr>
            <w:tcW w:w="915" w:type="dxa"/>
            <w:shd w:val="clear" w:color="auto" w:fill="auto"/>
            <w:vAlign w:val="center"/>
          </w:tcPr>
          <w:p w14:paraId="05609631">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w:t>
            </w:r>
          </w:p>
        </w:tc>
        <w:tc>
          <w:tcPr>
            <w:tcW w:w="1011" w:type="dxa"/>
            <w:shd w:val="clear" w:color="auto" w:fill="auto"/>
            <w:vAlign w:val="center"/>
          </w:tcPr>
          <w:p w14:paraId="75C3D86A">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100</w:t>
            </w:r>
          </w:p>
        </w:tc>
        <w:tc>
          <w:tcPr>
            <w:tcW w:w="950" w:type="dxa"/>
            <w:shd w:val="clear" w:color="auto" w:fill="auto"/>
            <w:vAlign w:val="center"/>
          </w:tcPr>
          <w:p w14:paraId="13FC3DC1">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100</w:t>
            </w:r>
          </w:p>
        </w:tc>
        <w:tc>
          <w:tcPr>
            <w:tcW w:w="850" w:type="dxa"/>
            <w:shd w:val="clear" w:color="auto" w:fill="auto"/>
            <w:vAlign w:val="center"/>
          </w:tcPr>
          <w:p w14:paraId="5649C652">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预期性</w:t>
            </w:r>
          </w:p>
        </w:tc>
      </w:tr>
      <w:tr w14:paraId="0DEA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noWrap/>
            <w:vAlign w:val="center"/>
          </w:tcPr>
          <w:p w14:paraId="0D20A312">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05055247">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16</w:t>
            </w:r>
          </w:p>
        </w:tc>
        <w:tc>
          <w:tcPr>
            <w:tcW w:w="3260" w:type="dxa"/>
            <w:shd w:val="clear" w:color="auto" w:fill="auto"/>
            <w:vAlign w:val="center"/>
          </w:tcPr>
          <w:p w14:paraId="4DFBA57A">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农村卫生厕所普及率</w:t>
            </w:r>
          </w:p>
        </w:tc>
        <w:tc>
          <w:tcPr>
            <w:tcW w:w="915" w:type="dxa"/>
            <w:shd w:val="clear" w:color="auto" w:fill="auto"/>
            <w:vAlign w:val="center"/>
          </w:tcPr>
          <w:p w14:paraId="50D2BC46">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w:t>
            </w:r>
          </w:p>
        </w:tc>
        <w:tc>
          <w:tcPr>
            <w:tcW w:w="1011" w:type="dxa"/>
            <w:shd w:val="clear" w:color="auto" w:fill="auto"/>
            <w:vAlign w:val="center"/>
          </w:tcPr>
          <w:p w14:paraId="5433912E">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100</w:t>
            </w:r>
          </w:p>
        </w:tc>
        <w:tc>
          <w:tcPr>
            <w:tcW w:w="950" w:type="dxa"/>
            <w:shd w:val="clear" w:color="auto" w:fill="auto"/>
            <w:vAlign w:val="center"/>
          </w:tcPr>
          <w:p w14:paraId="0654DCA3">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100</w:t>
            </w:r>
          </w:p>
        </w:tc>
        <w:tc>
          <w:tcPr>
            <w:tcW w:w="850" w:type="dxa"/>
            <w:shd w:val="clear" w:color="auto" w:fill="auto"/>
            <w:vAlign w:val="center"/>
          </w:tcPr>
          <w:p w14:paraId="3C68F1F9">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预期性</w:t>
            </w:r>
          </w:p>
        </w:tc>
      </w:tr>
      <w:tr w14:paraId="7F56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noWrap/>
            <w:vAlign w:val="center"/>
          </w:tcPr>
          <w:p w14:paraId="1D05CA91">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6A93E143">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17</w:t>
            </w:r>
          </w:p>
        </w:tc>
        <w:tc>
          <w:tcPr>
            <w:tcW w:w="3260" w:type="dxa"/>
            <w:shd w:val="clear" w:color="auto" w:fill="auto"/>
            <w:vAlign w:val="center"/>
          </w:tcPr>
          <w:p w14:paraId="10C60A8F">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畜禽粪污资源化利用率</w:t>
            </w:r>
          </w:p>
        </w:tc>
        <w:tc>
          <w:tcPr>
            <w:tcW w:w="915" w:type="dxa"/>
            <w:shd w:val="clear" w:color="auto" w:fill="auto"/>
            <w:vAlign w:val="center"/>
          </w:tcPr>
          <w:p w14:paraId="43F2677E">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w:t>
            </w:r>
          </w:p>
        </w:tc>
        <w:tc>
          <w:tcPr>
            <w:tcW w:w="1011" w:type="dxa"/>
            <w:shd w:val="clear" w:color="auto" w:fill="auto"/>
            <w:vAlign w:val="center"/>
          </w:tcPr>
          <w:p w14:paraId="7D3FF852">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80</w:t>
            </w:r>
          </w:p>
        </w:tc>
        <w:tc>
          <w:tcPr>
            <w:tcW w:w="950" w:type="dxa"/>
            <w:shd w:val="clear" w:color="auto" w:fill="auto"/>
            <w:vAlign w:val="center"/>
          </w:tcPr>
          <w:p w14:paraId="5C095889">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90</w:t>
            </w:r>
          </w:p>
        </w:tc>
        <w:tc>
          <w:tcPr>
            <w:tcW w:w="850" w:type="dxa"/>
            <w:shd w:val="clear" w:color="auto" w:fill="auto"/>
            <w:vAlign w:val="center"/>
          </w:tcPr>
          <w:p w14:paraId="6861DC75">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约束性</w:t>
            </w:r>
          </w:p>
        </w:tc>
      </w:tr>
      <w:tr w14:paraId="45E7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noWrap/>
            <w:vAlign w:val="center"/>
          </w:tcPr>
          <w:p w14:paraId="04D7F267">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088D1239">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18</w:t>
            </w:r>
          </w:p>
        </w:tc>
        <w:tc>
          <w:tcPr>
            <w:tcW w:w="3260" w:type="dxa"/>
            <w:shd w:val="clear" w:color="auto" w:fill="auto"/>
            <w:vAlign w:val="center"/>
          </w:tcPr>
          <w:p w14:paraId="2D3B8A0B">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区级及以上文明村占比</w:t>
            </w:r>
          </w:p>
        </w:tc>
        <w:tc>
          <w:tcPr>
            <w:tcW w:w="915" w:type="dxa"/>
            <w:shd w:val="clear" w:color="auto" w:fill="auto"/>
            <w:vAlign w:val="center"/>
          </w:tcPr>
          <w:p w14:paraId="6A51CD61">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w:t>
            </w:r>
          </w:p>
        </w:tc>
        <w:tc>
          <w:tcPr>
            <w:tcW w:w="1011" w:type="dxa"/>
            <w:shd w:val="clear" w:color="auto" w:fill="auto"/>
            <w:vAlign w:val="center"/>
          </w:tcPr>
          <w:p w14:paraId="55CDFB62">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50</w:t>
            </w:r>
          </w:p>
        </w:tc>
        <w:tc>
          <w:tcPr>
            <w:tcW w:w="950" w:type="dxa"/>
            <w:shd w:val="clear" w:color="auto" w:fill="auto"/>
            <w:vAlign w:val="center"/>
          </w:tcPr>
          <w:p w14:paraId="71FF18B0">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80</w:t>
            </w:r>
          </w:p>
        </w:tc>
        <w:tc>
          <w:tcPr>
            <w:tcW w:w="850" w:type="dxa"/>
            <w:shd w:val="clear" w:color="auto" w:fill="auto"/>
            <w:vAlign w:val="center"/>
          </w:tcPr>
          <w:p w14:paraId="0445E959">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预期性</w:t>
            </w:r>
          </w:p>
        </w:tc>
      </w:tr>
      <w:tr w14:paraId="7937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noWrap/>
            <w:vAlign w:val="center"/>
          </w:tcPr>
          <w:p w14:paraId="43FFDB7D">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05919B08">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19</w:t>
            </w:r>
          </w:p>
        </w:tc>
        <w:tc>
          <w:tcPr>
            <w:tcW w:w="3260" w:type="dxa"/>
            <w:shd w:val="clear" w:color="auto" w:fill="auto"/>
            <w:vAlign w:val="center"/>
          </w:tcPr>
          <w:p w14:paraId="70C7E531">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实施乡村治理积分制村庄占比</w:t>
            </w:r>
          </w:p>
        </w:tc>
        <w:tc>
          <w:tcPr>
            <w:tcW w:w="915" w:type="dxa"/>
            <w:shd w:val="clear" w:color="auto" w:fill="auto"/>
            <w:vAlign w:val="center"/>
          </w:tcPr>
          <w:p w14:paraId="50F61A29">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w:t>
            </w:r>
          </w:p>
        </w:tc>
        <w:tc>
          <w:tcPr>
            <w:tcW w:w="1011" w:type="dxa"/>
            <w:shd w:val="clear" w:color="auto" w:fill="auto"/>
            <w:vAlign w:val="center"/>
          </w:tcPr>
          <w:p w14:paraId="558FBD38">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w:t>
            </w:r>
          </w:p>
        </w:tc>
        <w:tc>
          <w:tcPr>
            <w:tcW w:w="950" w:type="dxa"/>
            <w:shd w:val="clear" w:color="auto" w:fill="auto"/>
            <w:vAlign w:val="center"/>
          </w:tcPr>
          <w:p w14:paraId="6C479288">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80</w:t>
            </w:r>
          </w:p>
        </w:tc>
        <w:tc>
          <w:tcPr>
            <w:tcW w:w="850" w:type="dxa"/>
            <w:shd w:val="clear" w:color="auto" w:fill="auto"/>
            <w:vAlign w:val="center"/>
          </w:tcPr>
          <w:p w14:paraId="2F844854">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预期性</w:t>
            </w:r>
          </w:p>
        </w:tc>
      </w:tr>
      <w:tr w14:paraId="0E0D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restart"/>
            <w:shd w:val="clear" w:color="auto" w:fill="auto"/>
            <w:vAlign w:val="center"/>
          </w:tcPr>
          <w:p w14:paraId="745A2326">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农民富裕</w:t>
            </w:r>
          </w:p>
        </w:tc>
        <w:tc>
          <w:tcPr>
            <w:tcW w:w="677" w:type="dxa"/>
            <w:shd w:val="clear" w:color="auto" w:fill="auto"/>
            <w:vAlign w:val="center"/>
          </w:tcPr>
          <w:p w14:paraId="2DD5C78B">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w:t>
            </w:r>
          </w:p>
        </w:tc>
        <w:tc>
          <w:tcPr>
            <w:tcW w:w="3260" w:type="dxa"/>
            <w:shd w:val="clear" w:color="auto" w:fill="auto"/>
            <w:vAlign w:val="center"/>
          </w:tcPr>
          <w:p w14:paraId="13A310BA">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农村居民人均可支配收入增速</w:t>
            </w:r>
          </w:p>
        </w:tc>
        <w:tc>
          <w:tcPr>
            <w:tcW w:w="915" w:type="dxa"/>
            <w:shd w:val="clear" w:color="auto" w:fill="auto"/>
            <w:vAlign w:val="center"/>
          </w:tcPr>
          <w:p w14:paraId="5DEF5782">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p>
        </w:tc>
        <w:tc>
          <w:tcPr>
            <w:tcW w:w="1011" w:type="dxa"/>
            <w:shd w:val="clear" w:color="auto" w:fill="auto"/>
            <w:vAlign w:val="center"/>
          </w:tcPr>
          <w:p w14:paraId="3CC8356A">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 xml:space="preserve">与经济增长基本同步 </w:t>
            </w:r>
          </w:p>
        </w:tc>
        <w:tc>
          <w:tcPr>
            <w:tcW w:w="950" w:type="dxa"/>
            <w:shd w:val="clear" w:color="auto" w:fill="auto"/>
            <w:vAlign w:val="center"/>
          </w:tcPr>
          <w:p w14:paraId="4B91D447">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与经济增长基本同步</w:t>
            </w:r>
          </w:p>
        </w:tc>
        <w:tc>
          <w:tcPr>
            <w:tcW w:w="850" w:type="dxa"/>
            <w:shd w:val="clear" w:color="auto" w:fill="auto"/>
            <w:vAlign w:val="center"/>
          </w:tcPr>
          <w:p w14:paraId="39BD9148">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预期性</w:t>
            </w:r>
          </w:p>
        </w:tc>
      </w:tr>
      <w:tr w14:paraId="76E7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shd w:val="clear" w:color="auto" w:fill="auto"/>
            <w:vAlign w:val="center"/>
          </w:tcPr>
          <w:p w14:paraId="1E5E4FFB">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p>
        </w:tc>
        <w:tc>
          <w:tcPr>
            <w:tcW w:w="677" w:type="dxa"/>
            <w:shd w:val="clear" w:color="auto" w:fill="auto"/>
            <w:vAlign w:val="center"/>
          </w:tcPr>
          <w:p w14:paraId="7A4AAAFF">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21</w:t>
            </w:r>
          </w:p>
        </w:tc>
        <w:tc>
          <w:tcPr>
            <w:tcW w:w="3260" w:type="dxa"/>
            <w:shd w:val="clear" w:color="auto" w:fill="auto"/>
            <w:vAlign w:val="center"/>
          </w:tcPr>
          <w:p w14:paraId="6386DB7E">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村集体经济年收入</w:t>
            </w:r>
          </w:p>
        </w:tc>
        <w:tc>
          <w:tcPr>
            <w:tcW w:w="915" w:type="dxa"/>
            <w:shd w:val="clear" w:color="auto" w:fill="auto"/>
            <w:vAlign w:val="center"/>
          </w:tcPr>
          <w:p w14:paraId="655172A8">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亿元</w:t>
            </w:r>
          </w:p>
        </w:tc>
        <w:tc>
          <w:tcPr>
            <w:tcW w:w="1011" w:type="dxa"/>
            <w:shd w:val="clear" w:color="auto" w:fill="auto"/>
            <w:vAlign w:val="center"/>
          </w:tcPr>
          <w:p w14:paraId="62F06542">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3.03663</w:t>
            </w:r>
          </w:p>
        </w:tc>
        <w:tc>
          <w:tcPr>
            <w:tcW w:w="950" w:type="dxa"/>
            <w:shd w:val="clear" w:color="auto" w:fill="auto"/>
            <w:vAlign w:val="center"/>
          </w:tcPr>
          <w:p w14:paraId="59F423A3">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3.8</w:t>
            </w:r>
          </w:p>
        </w:tc>
        <w:tc>
          <w:tcPr>
            <w:tcW w:w="850" w:type="dxa"/>
            <w:shd w:val="clear" w:color="auto" w:fill="auto"/>
            <w:vAlign w:val="center"/>
          </w:tcPr>
          <w:p w14:paraId="211EAFA4">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约束性</w:t>
            </w:r>
          </w:p>
        </w:tc>
      </w:tr>
    </w:tbl>
    <w:p w14:paraId="790D5CD3">
      <w:pPr>
        <w:pStyle w:val="3"/>
        <w:pageBreakBefore w:val="0"/>
        <w:kinsoku/>
        <w:wordWrap/>
        <w:topLinePunct w:val="0"/>
        <w:autoSpaceDE/>
        <w:autoSpaceDN/>
        <w:bidi w:val="0"/>
        <w:spacing w:line="560" w:lineRule="exact"/>
        <w:rPr>
          <w:rFonts w:hint="eastAsia" w:ascii="黑体" w:hAnsi="黑体" w:eastAsia="黑体" w:cs="黑体"/>
          <w:sz w:val="32"/>
          <w:szCs w:val="32"/>
        </w:rPr>
      </w:pPr>
      <w:bookmarkStart w:id="443" w:name="_Toc25209"/>
      <w:bookmarkStart w:id="444" w:name="_Toc26018"/>
      <w:bookmarkStart w:id="445" w:name="_Toc24133"/>
      <w:bookmarkStart w:id="446" w:name="_Toc7358"/>
      <w:bookmarkStart w:id="447" w:name="_Toc18563"/>
      <w:bookmarkStart w:id="448" w:name="_Toc9980"/>
      <w:bookmarkStart w:id="449" w:name="_Toc1271"/>
      <w:bookmarkStart w:id="450" w:name="_Toc14261"/>
      <w:bookmarkStart w:id="451" w:name="_Toc11151"/>
      <w:bookmarkStart w:id="452" w:name="_Toc21686_WPSOffice_Level1"/>
      <w:bookmarkStart w:id="453" w:name="_Toc30673"/>
      <w:bookmarkStart w:id="454" w:name="_Toc10159"/>
      <w:bookmarkStart w:id="455" w:name="_Toc23023"/>
      <w:bookmarkStart w:id="456" w:name="_Toc13116"/>
      <w:bookmarkStart w:id="457" w:name="_Toc17749"/>
      <w:bookmarkStart w:id="458" w:name="_Toc4050"/>
      <w:bookmarkStart w:id="459" w:name="_Toc22396"/>
      <w:bookmarkStart w:id="460" w:name="_Toc11722"/>
      <w:bookmarkStart w:id="461" w:name="_Toc32467"/>
      <w:bookmarkStart w:id="462" w:name="_Toc918161044_WPSOffice_Level1"/>
      <w:bookmarkStart w:id="463" w:name="_Toc122078291"/>
      <w:bookmarkStart w:id="464" w:name="_Toc5984"/>
      <w:bookmarkStart w:id="465" w:name="_Toc21249"/>
      <w:bookmarkStart w:id="466" w:name="_Toc18820"/>
      <w:bookmarkStart w:id="467" w:name="_Toc26436"/>
      <w:bookmarkStart w:id="468" w:name="_Toc24891"/>
      <w:bookmarkStart w:id="469" w:name="_Toc31717"/>
      <w:bookmarkStart w:id="470" w:name="_Toc22030"/>
      <w:bookmarkStart w:id="471" w:name="_Toc18636"/>
      <w:bookmarkStart w:id="472" w:name="_Toc14752"/>
      <w:bookmarkStart w:id="473" w:name="_Toc12747"/>
      <w:bookmarkStart w:id="474" w:name="_Toc18755"/>
      <w:bookmarkStart w:id="475" w:name="_Toc30203"/>
      <w:bookmarkStart w:id="476" w:name="_Toc13889"/>
      <w:bookmarkStart w:id="477" w:name="_Toc20376"/>
      <w:bookmarkStart w:id="478" w:name="_Toc25166"/>
      <w:bookmarkStart w:id="479" w:name="_Toc21397"/>
      <w:bookmarkStart w:id="480" w:name="_Toc11454"/>
      <w:bookmarkStart w:id="481" w:name="_Toc104110336"/>
      <w:bookmarkStart w:id="482" w:name="_Toc14190"/>
      <w:bookmarkStart w:id="483" w:name="_Toc14980"/>
      <w:bookmarkStart w:id="484" w:name="_Toc27177"/>
      <w:bookmarkStart w:id="485" w:name="_Toc387"/>
      <w:bookmarkStart w:id="486" w:name="_Toc16039"/>
      <w:bookmarkStart w:id="487" w:name="_Toc7603"/>
      <w:bookmarkStart w:id="488" w:name="_Toc19389"/>
      <w:bookmarkStart w:id="489" w:name="_Toc31674"/>
      <w:bookmarkStart w:id="490" w:name="_Toc17346"/>
      <w:bookmarkStart w:id="491" w:name="_Toc798"/>
      <w:bookmarkStart w:id="492" w:name="_Toc20615"/>
      <w:bookmarkStart w:id="493" w:name="_Toc4852"/>
      <w:bookmarkStart w:id="494" w:name="_Toc28405"/>
      <w:r>
        <w:rPr>
          <w:rFonts w:hint="eastAsia" w:ascii="黑体" w:hAnsi="黑体" w:eastAsia="黑体" w:cs="黑体"/>
          <w:sz w:val="32"/>
          <w:szCs w:val="32"/>
        </w:rPr>
        <w:t xml:space="preserve">第三章 </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hint="eastAsia" w:ascii="黑体" w:hAnsi="黑体" w:eastAsia="黑体" w:cs="黑体"/>
          <w:sz w:val="32"/>
          <w:szCs w:val="32"/>
        </w:rPr>
        <w:t>完善上下游产业链，推进农业现代</w:t>
      </w:r>
      <w:r>
        <w:rPr>
          <w:rFonts w:hint="eastAsia" w:ascii="黑体" w:hAnsi="黑体" w:eastAsia="黑体" w:cs="黑体"/>
          <w:sz w:val="32"/>
          <w:szCs w:val="32"/>
          <w:lang w:eastAsia="zh-CN"/>
        </w:rPr>
        <w:t>化</w:t>
      </w:r>
      <w:r>
        <w:rPr>
          <w:rFonts w:hint="eastAsia" w:ascii="黑体" w:hAnsi="黑体" w:eastAsia="黑体" w:cs="黑体"/>
          <w:sz w:val="32"/>
          <w:szCs w:val="32"/>
        </w:rPr>
        <w:t>发展</w:t>
      </w:r>
      <w:bookmarkEnd w:id="462"/>
      <w:bookmarkEnd w:id="463"/>
    </w:p>
    <w:p w14:paraId="45C14507">
      <w:pPr>
        <w:pageBreakBefore w:val="0"/>
        <w:kinsoku/>
        <w:wordWrap/>
        <w:topLinePunct w:val="0"/>
        <w:autoSpaceDE/>
        <w:autoSpaceDN/>
        <w:bidi w:val="0"/>
        <w:spacing w:line="560" w:lineRule="exact"/>
        <w:ind w:firstLine="640"/>
        <w:rPr>
          <w:rFonts w:hint="eastAsia" w:ascii="仿宋_GB2312" w:hAnsi="仿宋_GB2312" w:eastAsia="仿宋_GB2312" w:cs="仿宋_GB2312"/>
          <w:sz w:val="32"/>
          <w:szCs w:val="32"/>
          <w:lang w:eastAsia="ja-JP"/>
        </w:rPr>
      </w:pPr>
      <w:r>
        <w:rPr>
          <w:rFonts w:hint="eastAsia" w:ascii="仿宋_GB2312" w:hAnsi="仿宋_GB2312" w:eastAsia="仿宋_GB2312" w:cs="仿宋_GB2312"/>
          <w:sz w:val="32"/>
          <w:szCs w:val="32"/>
        </w:rPr>
        <w:t>壮大五大种业为主导的特色农业产业，推进农业科技自主创新，促进农业科技成果转化，加快新品种、新技术推广和集成应用，力争利用三年时间，打造小站稻、七里海香蟹和生猪三大产业的全产业链，实现“米上牌”、“蟹上环”、“猪上市”。在确保粮食安全和农业持续稳定增长的前提下，进一步优化农业产业布局，加快推动品种培优、品质提升、品牌培育和标准化生产，整体提升产业发展质量效益和竞争力，推动农业产业整体升级，实现宁河由农业大区向农业强区的“蜕变”。</w:t>
      </w:r>
    </w:p>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60AA9FF8">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495" w:name="_Toc2081695825_WPSOffice_Level2"/>
      <w:bookmarkStart w:id="496" w:name="_Toc122078292"/>
      <w:bookmarkStart w:id="497" w:name="_Toc32568"/>
      <w:bookmarkStart w:id="498" w:name="_Toc22187"/>
      <w:bookmarkStart w:id="499" w:name="_Toc25552"/>
      <w:bookmarkStart w:id="500" w:name="_Toc52"/>
      <w:r>
        <w:rPr>
          <w:rFonts w:hint="eastAsia" w:ascii="黑体" w:hAnsi="黑体" w:eastAsia="黑体" w:cs="黑体"/>
          <w:b w:val="0"/>
          <w:bCs/>
          <w:sz w:val="32"/>
          <w:szCs w:val="32"/>
        </w:rPr>
        <w:t>一、打造五大种业产业链</w:t>
      </w:r>
      <w:bookmarkEnd w:id="495"/>
      <w:bookmarkEnd w:id="496"/>
    </w:p>
    <w:p w14:paraId="09ED7888">
      <w:pPr>
        <w:pageBreakBefore w:val="0"/>
        <w:kinsoku/>
        <w:wordWrap/>
        <w:topLinePunct w:val="0"/>
        <w:autoSpaceDE/>
        <w:autoSpaceDN/>
        <w:bidi w:val="0"/>
        <w:spacing w:line="560" w:lineRule="exact"/>
        <w:ind w:firstLine="643"/>
        <w:rPr>
          <w:rFonts w:hint="eastAsia" w:ascii="仿宋_GB2312" w:hAnsi="仿宋_GB2312" w:eastAsia="仿宋_GB2312" w:cs="仿宋_GB2312"/>
          <w:bCs/>
          <w:sz w:val="32"/>
          <w:szCs w:val="32"/>
        </w:rPr>
      </w:pPr>
      <w:r>
        <w:rPr>
          <w:rFonts w:hint="eastAsia" w:ascii="楷体" w:hAnsi="楷体" w:eastAsia="楷体" w:cs="楷体"/>
          <w:b w:val="0"/>
          <w:bCs/>
          <w:sz w:val="32"/>
          <w:szCs w:val="32"/>
        </w:rPr>
        <w:t>（一）做强种稻产业。</w:t>
      </w:r>
      <w:r>
        <w:rPr>
          <w:rFonts w:hint="eastAsia" w:ascii="仿宋_GB2312" w:hAnsi="仿宋_GB2312" w:eastAsia="仿宋_GB2312" w:cs="仿宋_GB2312"/>
          <w:bCs/>
          <w:sz w:val="32"/>
          <w:szCs w:val="32"/>
        </w:rPr>
        <w:t>依托国家级水稻原种场，加强津沽小站稻品种培育创新，建设标准化水稻育种示范基地，围绕水稻产业链关键环节开展科技研发与创新，促进水稻种子培育、立体种养、精深加工等环节不断提质增效。</w:t>
      </w:r>
    </w:p>
    <w:p w14:paraId="2538047F">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1.创新水稻育种研发。</w:t>
      </w:r>
      <w:r>
        <w:rPr>
          <w:rFonts w:hint="eastAsia" w:ascii="仿宋_GB2312" w:hAnsi="仿宋_GB2312" w:eastAsia="仿宋_GB2312" w:cs="仿宋_GB2312"/>
          <w:bCs/>
          <w:sz w:val="32"/>
          <w:szCs w:val="32"/>
        </w:rPr>
        <w:t>持续加大科研育种工作力度，开展高产、优质粳稻种质资源研究，加强具有自主知识产权的优质水稻品种选育，推广工厂化水稻基质育秧技术。促进</w:t>
      </w:r>
      <w:r>
        <w:rPr>
          <w:rFonts w:hint="eastAsia" w:ascii="仿宋_GB2312" w:hAnsi="仿宋_GB2312" w:eastAsia="仿宋_GB2312" w:cs="仿宋_GB2312"/>
          <w:sz w:val="32"/>
          <w:szCs w:val="32"/>
        </w:rPr>
        <w:t>水稻绿色高质高效发展。结合农户的用种需求，将通过国家或市级审定的水稻品种展示示范。</w:t>
      </w:r>
    </w:p>
    <w:p w14:paraId="4D0FDB45">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2.推广现代种植技术。</w:t>
      </w:r>
      <w:r>
        <w:rPr>
          <w:rFonts w:hint="eastAsia" w:ascii="仿宋_GB2312" w:hAnsi="仿宋_GB2312" w:eastAsia="仿宋_GB2312" w:cs="仿宋_GB2312"/>
          <w:sz w:val="32"/>
          <w:szCs w:val="32"/>
        </w:rPr>
        <w:t>开展绿色循环种养、麦稻连作、稻渔综合种养模式推广，实现“一地双收、稳粮增效”“亩产吨粮”“一水两用、稻渔双赢”的综合效果。进一步夯实确保粮食安全的生产基础，提高土地利用率。</w:t>
      </w:r>
    </w:p>
    <w:p w14:paraId="2049DCAC">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3.统一智能生产流程。</w:t>
      </w:r>
      <w:r>
        <w:rPr>
          <w:rFonts w:hint="eastAsia" w:ascii="仿宋_GB2312" w:hAnsi="仿宋_GB2312" w:eastAsia="仿宋_GB2312" w:cs="仿宋_GB2312"/>
          <w:sz w:val="32"/>
          <w:szCs w:val="32"/>
        </w:rPr>
        <w:t>加强水稻全产业链标准化建设，完成国家水稻栽培标准化核心区建设。建立健全</w:t>
      </w:r>
      <w:r>
        <w:rPr>
          <w:rFonts w:hint="eastAsia" w:ascii="仿宋_GB2312" w:hAnsi="仿宋_GB2312" w:eastAsia="仿宋_GB2312" w:cs="仿宋_GB2312"/>
          <w:bCs/>
          <w:sz w:val="32"/>
          <w:szCs w:val="32"/>
        </w:rPr>
        <w:t>津沽小站稻</w:t>
      </w:r>
      <w:r>
        <w:rPr>
          <w:rFonts w:hint="eastAsia" w:ascii="仿宋_GB2312" w:hAnsi="仿宋_GB2312" w:eastAsia="仿宋_GB2312" w:cs="仿宋_GB2312"/>
          <w:sz w:val="32"/>
          <w:szCs w:val="32"/>
        </w:rPr>
        <w:t>标准化体系，开展标准化培训，提升区域水稻整体标准化生产水平。建设水稻追溯系统，搭建起</w:t>
      </w:r>
      <w:r>
        <w:rPr>
          <w:rFonts w:hint="eastAsia" w:ascii="仿宋_GB2312" w:hAnsi="仿宋_GB2312" w:eastAsia="仿宋_GB2312" w:cs="仿宋_GB2312"/>
          <w:bCs/>
          <w:sz w:val="32"/>
          <w:szCs w:val="32"/>
        </w:rPr>
        <w:t>津沽小站稻</w:t>
      </w:r>
      <w:r>
        <w:rPr>
          <w:rFonts w:hint="eastAsia" w:ascii="仿宋_GB2312" w:hAnsi="仿宋_GB2312" w:eastAsia="仿宋_GB2312" w:cs="仿宋_GB2312"/>
          <w:sz w:val="32"/>
          <w:szCs w:val="32"/>
        </w:rPr>
        <w:t>品牌及质量安全溯源平台，实现对水稻种植全过程的监管，确保水稻产品全程可追溯。</w:t>
      </w:r>
    </w:p>
    <w:p w14:paraId="56E976C9">
      <w:pPr>
        <w:pStyle w:val="2"/>
        <w:pageBreakBefore w:val="0"/>
        <w:kinsoku/>
        <w:wordWrap/>
        <w:topLinePunct w:val="0"/>
        <w:autoSpaceDE/>
        <w:autoSpaceDN/>
        <w:bidi w:val="0"/>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4.打通水稻产加销链条。</w:t>
      </w:r>
      <w:r>
        <w:rPr>
          <w:rFonts w:hint="eastAsia" w:ascii="仿宋_GB2312" w:hAnsi="仿宋_GB2312" w:eastAsia="仿宋_GB2312" w:cs="仿宋_GB2312"/>
          <w:sz w:val="32"/>
          <w:szCs w:val="32"/>
        </w:rPr>
        <w:t>完善仓储加工体系，提升水稻种植基地仓储、初加工能力，推进水稻收储+基地项目建设。加强冷链物流集散中心建设，完善冷藏运输、冷库等设施设备，提升城市社区终端配送基础设施建设和服务水平，做好销地与产地冷链衔接。积极发展订单农业，聚焦水稻产业链生态圈建设，搭建从育种到消费全环节的服务平台。</w:t>
      </w:r>
    </w:p>
    <w:p w14:paraId="64CD335E">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5.加强品牌建设力度。</w:t>
      </w:r>
      <w:r>
        <w:rPr>
          <w:rFonts w:hint="eastAsia" w:ascii="仿宋_GB2312" w:hAnsi="仿宋_GB2312" w:eastAsia="仿宋_GB2312" w:cs="仿宋_GB2312"/>
          <w:sz w:val="32"/>
          <w:szCs w:val="32"/>
        </w:rPr>
        <w:t>继续认定水稻品牌入选“津农精品”，逐步将“津沽宁河大米”打造成国内知名的农业品牌。加强地理标志保护与品牌建设的联动，建立知识产权的协同保护机制，建立健全地理标志产品保护信息定期统计报送制度，切实保障地理标志产品质量安全。持续加大宣传力度，树立品牌形象，扩大品牌影响力和市场竞争力。</w:t>
      </w:r>
    </w:p>
    <w:p w14:paraId="18F85082">
      <w:pPr>
        <w:pStyle w:val="2"/>
        <w:pageBreakBefore w:val="0"/>
        <w:kinsoku/>
        <w:wordWrap/>
        <w:topLinePunct w:val="0"/>
        <w:autoSpaceDE/>
        <w:autoSpaceDN/>
        <w:bidi w:val="0"/>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6.实现秸秆循环利用。</w:t>
      </w:r>
      <w:r>
        <w:rPr>
          <w:rFonts w:hint="eastAsia" w:ascii="仿宋_GB2312" w:hAnsi="仿宋_GB2312" w:eastAsia="仿宋_GB2312" w:cs="仿宋_GB2312"/>
          <w:sz w:val="32"/>
          <w:szCs w:val="32"/>
        </w:rPr>
        <w:t>开展水稻秸秆就地肥料化全量还田技术引进与示范，避免育秧对土地的破坏，减少土壤表层流失，解决环境污染、秧苗保温、苗床杂草和农药危害、育苗成本等瓶颈问题，促进水稻绿色高质高效发展。</w:t>
      </w:r>
    </w:p>
    <w:p w14:paraId="0F27D125">
      <w:pPr>
        <w:pStyle w:val="2"/>
        <w:pageBreakBefore w:val="0"/>
        <w:kinsoku/>
        <w:wordWrap/>
        <w:topLinePunct w:val="0"/>
        <w:autoSpaceDE/>
        <w:autoSpaceDN/>
        <w:bidi w:val="0"/>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7.挖掘稻蟹特色文化。</w:t>
      </w:r>
      <w:r>
        <w:rPr>
          <w:rFonts w:hint="eastAsia" w:ascii="仿宋_GB2312" w:hAnsi="仿宋_GB2312" w:eastAsia="仿宋_GB2312" w:cs="仿宋_GB2312"/>
          <w:sz w:val="32"/>
          <w:szCs w:val="32"/>
        </w:rPr>
        <w:t>利用“旅游+”“互联网+”“生态+”等模式，深入挖掘稻蟹文化内涵，将水稻、七里海香蟹生态资源同丰富多彩的民俗文化、历史文化相结合，形成独具农业特色的稻蟹文化旅游产业，利用水稻文化、七里海香蟹文化，丰富乡村旅游业态和产品，打造稻蟹文化特色村镇，打响宁河稻蟹文化品牌。</w:t>
      </w:r>
    </w:p>
    <w:p w14:paraId="7CC798FC">
      <w:pPr>
        <w:pStyle w:val="7"/>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（二）做强种猪产业。</w:t>
      </w:r>
      <w:r>
        <w:rPr>
          <w:rFonts w:hint="eastAsia" w:ascii="仿宋_GB2312" w:hAnsi="仿宋_GB2312" w:eastAsia="仿宋_GB2312" w:cs="仿宋_GB2312"/>
          <w:sz w:val="32"/>
          <w:szCs w:val="32"/>
        </w:rPr>
        <w:t>发挥宁河区生猪产业科技优势，</w:t>
      </w:r>
      <w:r>
        <w:rPr>
          <w:rFonts w:hint="eastAsia" w:ascii="仿宋_GB2312" w:hAnsi="仿宋_GB2312" w:eastAsia="仿宋_GB2312" w:cs="仿宋_GB2312"/>
          <w:bCs/>
          <w:sz w:val="32"/>
          <w:szCs w:val="32"/>
        </w:rPr>
        <w:t>依托宁河原种猪场、天津市生猪育种团队和科研机构的优势，</w:t>
      </w:r>
      <w:r>
        <w:rPr>
          <w:rFonts w:hint="eastAsia" w:ascii="仿宋_GB2312" w:hAnsi="仿宋_GB2312" w:eastAsia="仿宋_GB2312" w:cs="仿宋_GB2312"/>
          <w:sz w:val="32"/>
          <w:szCs w:val="32"/>
        </w:rPr>
        <w:t>应用现代生猪核心育种技术，建立健全种猪联合育种机制，加快种猪群体遗传改良，提升生猪育种自主创新能力。</w:t>
      </w:r>
    </w:p>
    <w:p w14:paraId="31F350C9">
      <w:pPr>
        <w:pStyle w:val="7"/>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rPr>
      </w:pPr>
      <w:bookmarkStart w:id="501" w:name="_Toc7528"/>
      <w:bookmarkStart w:id="502" w:name="_Toc12551"/>
      <w:bookmarkStart w:id="503" w:name="_Toc31747"/>
      <w:bookmarkStart w:id="504" w:name="_Toc6973"/>
      <w:bookmarkStart w:id="505" w:name="_Toc30804"/>
      <w:bookmarkStart w:id="506" w:name="_Toc2840"/>
      <w:bookmarkStart w:id="507" w:name="_Toc9276"/>
      <w:bookmarkStart w:id="508" w:name="_Toc105507229"/>
      <w:bookmarkStart w:id="509" w:name="_Toc3229"/>
      <w:bookmarkStart w:id="510" w:name="_Toc10788"/>
      <w:bookmarkStart w:id="511" w:name="_Toc105055040"/>
      <w:bookmarkStart w:id="512" w:name="_Toc3812"/>
      <w:bookmarkStart w:id="513" w:name="_Toc23104"/>
      <w:bookmarkStart w:id="514" w:name="_Toc13690"/>
      <w:bookmarkStart w:id="515" w:name="_Toc17767"/>
      <w:bookmarkStart w:id="516" w:name="_Toc15702"/>
      <w:bookmarkStart w:id="517" w:name="_Toc25450"/>
      <w:r>
        <w:rPr>
          <w:rFonts w:hint="eastAsia" w:ascii="仿宋_GB2312" w:hAnsi="仿宋_GB2312" w:eastAsia="仿宋_GB2312" w:cs="仿宋_GB2312"/>
          <w:b/>
          <w:bCs/>
          <w:sz w:val="32"/>
          <w:szCs w:val="32"/>
        </w:rPr>
        <w:t>1.应用全基因组技术培育种猪</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通过高新技术手段，选育含产肉能力高、综合繁殖力高、抗病力高的“三高”型瘦肉型猪新品系，形成具备自主知识产权的优质瘦肉型种猪产品，提高市场的竞争能力和抗风险能力。</w:t>
      </w:r>
    </w:p>
    <w:p w14:paraId="297C0B00">
      <w:pPr>
        <w:pStyle w:val="7"/>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rPr>
      </w:pPr>
      <w:bookmarkStart w:id="518" w:name="_Toc25324"/>
      <w:bookmarkStart w:id="519" w:name="_Toc25885"/>
      <w:bookmarkStart w:id="520" w:name="_Toc20840"/>
      <w:bookmarkStart w:id="521" w:name="_Toc26432"/>
      <w:bookmarkStart w:id="522" w:name="_Toc17038"/>
      <w:bookmarkStart w:id="523" w:name="_Toc18405"/>
      <w:bookmarkStart w:id="524" w:name="_Toc105507230"/>
      <w:bookmarkStart w:id="525" w:name="_Toc29361"/>
      <w:bookmarkStart w:id="526" w:name="_Toc5228"/>
      <w:bookmarkStart w:id="527" w:name="_Toc25297"/>
      <w:bookmarkStart w:id="528" w:name="_Toc18611"/>
      <w:bookmarkStart w:id="529" w:name="_Toc25551"/>
      <w:bookmarkStart w:id="530" w:name="_Toc26541"/>
      <w:bookmarkStart w:id="531" w:name="_Toc9778"/>
      <w:bookmarkStart w:id="532" w:name="_Toc3811"/>
      <w:bookmarkStart w:id="533" w:name="_Toc6201"/>
      <w:r>
        <w:rPr>
          <w:rFonts w:hint="eastAsia" w:ascii="仿宋_GB2312" w:hAnsi="仿宋_GB2312" w:eastAsia="仿宋_GB2312" w:cs="仿宋_GB2312"/>
          <w:b/>
          <w:bCs/>
          <w:sz w:val="32"/>
          <w:szCs w:val="32"/>
        </w:rPr>
        <w:t>2.加快自主创新成果推广</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继续加大畜产品生产区的建设，开展良种联合攻关。加快自有新品种、新种质的培育、创制和工厂化生产能力，提升种业自主创新能力，提升核心种源自给率。加快推进品种选育提高和推广进程，生猪生产力提高5%以上。</w:t>
      </w:r>
    </w:p>
    <w:p w14:paraId="21AFD16C">
      <w:pPr>
        <w:pageBreakBefore w:val="0"/>
        <w:kinsoku/>
        <w:wordWrap/>
        <w:topLinePunct w:val="0"/>
        <w:autoSpaceDE/>
        <w:autoSpaceDN/>
        <w:bidi w:val="0"/>
        <w:spacing w:line="560" w:lineRule="exact"/>
        <w:ind w:firstLine="643"/>
        <w:rPr>
          <w:rStyle w:val="55"/>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3.完善循环生态环保产业链条。</w:t>
      </w:r>
      <w:r>
        <w:rPr>
          <w:rStyle w:val="55"/>
          <w:rFonts w:hint="eastAsia" w:ascii="仿宋_GB2312" w:hAnsi="仿宋_GB2312" w:eastAsia="仿宋_GB2312" w:cs="仿宋_GB2312"/>
          <w:sz w:val="32"/>
          <w:szCs w:val="32"/>
        </w:rPr>
        <w:t>支持企业流转周边土地种植玉米、大豆等猪饲料农作物，建设现代化绿色饲料加工厂，统一为养殖场户提供优质的饲料，同时养殖场户养殖过程中产生的猪排泄物可用于还田再利用，从源头把控种猪产品质量，降低养殖成本，形成一个循环生态环保产业链条。</w:t>
      </w:r>
    </w:p>
    <w:p w14:paraId="0EF00FA7">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534" w:name="_Toc13673"/>
      <w:bookmarkStart w:id="535" w:name="_Toc13640"/>
      <w:bookmarkStart w:id="536" w:name="_Toc105507232"/>
      <w:bookmarkStart w:id="537" w:name="_Toc272"/>
      <w:bookmarkStart w:id="538" w:name="_Toc30588"/>
      <w:bookmarkStart w:id="539" w:name="_Toc443"/>
      <w:bookmarkStart w:id="540" w:name="_Toc31281"/>
      <w:bookmarkStart w:id="541" w:name="_Toc14201"/>
      <w:bookmarkStart w:id="542" w:name="_Toc22822"/>
      <w:bookmarkStart w:id="543" w:name="_Toc30136"/>
      <w:bookmarkStart w:id="544" w:name="_Toc31396"/>
      <w:bookmarkStart w:id="545" w:name="_Toc18682"/>
      <w:bookmarkStart w:id="546" w:name="_Toc25887"/>
      <w:bookmarkStart w:id="547" w:name="_Toc25048"/>
      <w:bookmarkStart w:id="548" w:name="_Toc25206"/>
      <w:bookmarkStart w:id="549" w:name="_Toc13932"/>
      <w:r>
        <w:rPr>
          <w:rFonts w:hint="eastAsia" w:ascii="仿宋_GB2312" w:hAnsi="仿宋_GB2312" w:eastAsia="仿宋_GB2312" w:cs="仿宋_GB2312"/>
          <w:b/>
          <w:bCs/>
          <w:sz w:val="32"/>
          <w:szCs w:val="32"/>
        </w:rPr>
        <w:t>4.强化优势种业龙头企业建设</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培育以市场为导向、商业化育种为主体、育种创新能力强、生产技术先进、市场营销能力强、产业链完整的“育繁推一体化”大型现代种业龙头企业，</w:t>
      </w:r>
      <w:r>
        <w:rPr>
          <w:rStyle w:val="55"/>
          <w:rFonts w:hint="eastAsia" w:ascii="仿宋_GB2312" w:hAnsi="仿宋_GB2312" w:eastAsia="仿宋_GB2312" w:cs="仿宋_GB2312"/>
          <w:sz w:val="32"/>
          <w:szCs w:val="32"/>
        </w:rPr>
        <w:t>建立健全畜产品质量安全体系，</w:t>
      </w:r>
      <w:r>
        <w:rPr>
          <w:rFonts w:hint="eastAsia" w:ascii="仿宋_GB2312" w:hAnsi="仿宋_GB2312" w:eastAsia="仿宋_GB2312" w:cs="仿宋_GB2312"/>
          <w:sz w:val="32"/>
          <w:szCs w:val="32"/>
        </w:rPr>
        <w:t>实现创新链与产业链、价值链的衔接和融合。</w:t>
      </w:r>
    </w:p>
    <w:p w14:paraId="48C56D77">
      <w:pPr>
        <w:pageBreakBefore w:val="0"/>
        <w:kinsoku/>
        <w:wordWrap/>
        <w:topLinePunct w:val="0"/>
        <w:autoSpaceDE/>
        <w:autoSpaceDN/>
        <w:bidi w:val="0"/>
        <w:spacing w:line="560" w:lineRule="exact"/>
        <w:ind w:firstLine="643"/>
        <w:rPr>
          <w:rStyle w:val="55"/>
          <w:rFonts w:hint="eastAsia" w:ascii="仿宋_GB2312" w:hAnsi="仿宋_GB2312" w:eastAsia="仿宋_GB2312" w:cs="仿宋_GB2312"/>
          <w:sz w:val="32"/>
          <w:szCs w:val="32"/>
        </w:rPr>
      </w:pPr>
      <w:bookmarkStart w:id="550" w:name="_Toc9532"/>
      <w:bookmarkStart w:id="551" w:name="_Toc22860"/>
      <w:bookmarkStart w:id="552" w:name="_Toc105055043"/>
      <w:bookmarkStart w:id="553" w:name="_Toc105507233"/>
      <w:bookmarkStart w:id="554" w:name="_Toc1292"/>
      <w:bookmarkStart w:id="555" w:name="_Toc12568"/>
      <w:bookmarkStart w:id="556" w:name="_Toc22645"/>
      <w:bookmarkStart w:id="557" w:name="_Toc14145"/>
      <w:bookmarkStart w:id="558" w:name="_Toc18514"/>
      <w:bookmarkStart w:id="559" w:name="_Toc11576"/>
      <w:bookmarkStart w:id="560" w:name="_Toc14161"/>
      <w:bookmarkStart w:id="561" w:name="_Toc19332"/>
      <w:bookmarkStart w:id="562" w:name="_Toc5544"/>
      <w:bookmarkStart w:id="563" w:name="_Toc18565"/>
      <w:bookmarkStart w:id="564" w:name="_Toc12826"/>
      <w:bookmarkStart w:id="565" w:name="_Toc10438"/>
      <w:bookmarkStart w:id="566" w:name="_Toc15405"/>
      <w:r>
        <w:rPr>
          <w:rFonts w:hint="eastAsia" w:ascii="仿宋_GB2312" w:hAnsi="仿宋_GB2312" w:eastAsia="仿宋_GB2312" w:cs="仿宋_GB2312"/>
          <w:b/>
          <w:bCs/>
          <w:sz w:val="32"/>
          <w:szCs w:val="32"/>
        </w:rPr>
        <w:t>5.加大对农民的养殖技术培训</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Pr>
          <w:rFonts w:hint="eastAsia" w:ascii="仿宋_GB2312" w:hAnsi="仿宋_GB2312" w:eastAsia="仿宋_GB2312" w:cs="仿宋_GB2312"/>
          <w:b/>
          <w:bCs/>
          <w:sz w:val="32"/>
          <w:szCs w:val="32"/>
        </w:rPr>
        <w:t>。</w:t>
      </w:r>
      <w:r>
        <w:rPr>
          <w:rStyle w:val="55"/>
          <w:rFonts w:hint="eastAsia" w:ascii="仿宋_GB2312" w:hAnsi="仿宋_GB2312" w:eastAsia="仿宋_GB2312" w:cs="仿宋_GB2312"/>
          <w:sz w:val="32"/>
          <w:szCs w:val="32"/>
        </w:rPr>
        <w:t>积极引进养殖高新技术在企业开展试验、示范和推广，加大对养殖户的应用科技、职业技能的培训，尽快把科技成果转化为现实生产力。</w:t>
      </w:r>
    </w:p>
    <w:p w14:paraId="502F9D8B">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（三）做强种鱼产业。</w:t>
      </w:r>
      <w:r>
        <w:rPr>
          <w:rFonts w:hint="eastAsia" w:ascii="仿宋_GB2312" w:hAnsi="仿宋_GB2312" w:eastAsia="仿宋_GB2312" w:cs="仿宋_GB2312"/>
          <w:sz w:val="32"/>
          <w:szCs w:val="32"/>
        </w:rPr>
        <w:t>依托换新水产良种场、天祥水产、和谐荣达等龙头企业，强化绿色生态培育，提升经济鱼、观赏鱼类种质质量，提高制种技术，提高种鱼品质质量，</w:t>
      </w:r>
      <w:bookmarkStart w:id="567" w:name="_Toc27605"/>
      <w:bookmarkStart w:id="568" w:name="_Toc6353"/>
      <w:bookmarkStart w:id="569" w:name="_Toc4967"/>
      <w:bookmarkStart w:id="570" w:name="_Toc6617"/>
      <w:bookmarkStart w:id="571" w:name="_Toc20636"/>
      <w:bookmarkStart w:id="572" w:name="_Toc22807"/>
      <w:bookmarkStart w:id="573" w:name="_Toc26424"/>
      <w:bookmarkStart w:id="574" w:name="_Toc105055038"/>
      <w:bookmarkStart w:id="575" w:name="_Toc443898373"/>
      <w:bookmarkStart w:id="576" w:name="_Toc443900929"/>
      <w:bookmarkStart w:id="577" w:name="_Toc816"/>
      <w:bookmarkStart w:id="578" w:name="_Toc6860"/>
      <w:bookmarkStart w:id="579" w:name="_Toc997"/>
      <w:bookmarkStart w:id="580" w:name="_Toc2669"/>
      <w:bookmarkStart w:id="581" w:name="_Toc4770"/>
      <w:bookmarkStart w:id="582" w:name="_Toc15908"/>
      <w:bookmarkStart w:id="583" w:name="_Toc105507242"/>
      <w:bookmarkStart w:id="584" w:name="_Toc4254"/>
      <w:bookmarkStart w:id="585" w:name="_Toc20531"/>
      <w:bookmarkStart w:id="586" w:name="_Toc9503"/>
      <w:bookmarkStart w:id="587" w:name="_Toc105055033"/>
      <w:bookmarkStart w:id="588" w:name="_Toc4733"/>
      <w:bookmarkStart w:id="589" w:name="_Toc105507240"/>
      <w:bookmarkStart w:id="590" w:name="_Toc26126"/>
      <w:bookmarkStart w:id="591" w:name="_Toc1485"/>
      <w:bookmarkStart w:id="592" w:name="_Toc18433"/>
      <w:bookmarkStart w:id="593" w:name="_Toc26672"/>
      <w:bookmarkStart w:id="594" w:name="_Toc2796"/>
      <w:bookmarkStart w:id="595" w:name="_Toc19415"/>
      <w:bookmarkStart w:id="596" w:name="_Toc23289"/>
      <w:bookmarkStart w:id="597" w:name="_Toc15304"/>
      <w:bookmarkStart w:id="598" w:name="_Toc12215"/>
      <w:bookmarkStart w:id="599" w:name="_Toc23144"/>
      <w:bookmarkStart w:id="600" w:name="_Toc12565"/>
      <w:bookmarkStart w:id="601" w:name="_Toc10487"/>
      <w:bookmarkStart w:id="602" w:name="_Toc27656"/>
      <w:bookmarkStart w:id="603" w:name="_Toc6000"/>
      <w:bookmarkStart w:id="604" w:name="_Toc9626"/>
      <w:r>
        <w:rPr>
          <w:rFonts w:hint="eastAsia" w:ascii="仿宋_GB2312" w:hAnsi="仿宋_GB2312" w:eastAsia="仿宋_GB2312" w:cs="仿宋_GB2312"/>
          <w:sz w:val="32"/>
          <w:szCs w:val="32"/>
        </w:rPr>
        <w:t>使宁河区成为天津市乃至京津冀地区有影响力的淡水鱼产业化先导示范区和科技创新、繁育养殖、集散交易和配套服务基地。到2025年末，国家级优质鱼种12个、市级优质鱼种18个，优质种鱼苗达到 33亿尾。</w:t>
      </w:r>
    </w:p>
    <w:p w14:paraId="0D9A5690">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1.实施种鱼新品种科技创新</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rFonts w:hint="eastAsia" w:ascii="仿宋_GB2312" w:hAnsi="仿宋_GB2312" w:eastAsia="仿宋_GB2312" w:cs="仿宋_GB2312"/>
          <w:b/>
          <w:bCs/>
          <w:sz w:val="32"/>
          <w:szCs w:val="32"/>
        </w:rPr>
        <w:t>。</w:t>
      </w:r>
      <w:bookmarkEnd w:id="587"/>
      <w:r>
        <w:rPr>
          <w:rFonts w:hint="eastAsia" w:ascii="仿宋_GB2312" w:hAnsi="仿宋_GB2312" w:eastAsia="仿宋_GB2312" w:cs="仿宋_GB2312"/>
          <w:b w:val="0"/>
          <w:bCs w:val="0"/>
          <w:sz w:val="32"/>
          <w:szCs w:val="32"/>
        </w:rPr>
        <w:t>深化</w:t>
      </w:r>
      <w:r>
        <w:rPr>
          <w:rFonts w:hint="eastAsia" w:ascii="仿宋_GB2312" w:hAnsi="仿宋_GB2312" w:eastAsia="仿宋_GB2312" w:cs="仿宋_GB2312"/>
          <w:sz w:val="32"/>
          <w:szCs w:val="32"/>
        </w:rPr>
        <w:t>与国家级科研单位的合作，打造观赏鱼产业科技合作平台，加强新品种、新技术的科技创新，实施产学研合作，在鱼苗关键技术集成、水循环利用等项目提升种鱼科技水平。</w:t>
      </w:r>
    </w:p>
    <w:p w14:paraId="639934EB">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2.提升工厂化鱼苗繁殖水平</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ja-JP"/>
        </w:rPr>
        <w:t>以“科技助推产业发展”作为主线，企业为主体，高等院校、科研院所为依托，形成自主创新、引进消化、示范推广相结合的技术创新体系，</w:t>
      </w:r>
      <w:r>
        <w:rPr>
          <w:rFonts w:hint="eastAsia" w:ascii="仿宋_GB2312" w:hAnsi="仿宋_GB2312" w:eastAsia="仿宋_GB2312" w:cs="仿宋_GB2312"/>
          <w:bCs/>
          <w:sz w:val="32"/>
          <w:szCs w:val="32"/>
        </w:rPr>
        <w:t>提升工厂化繁殖水平</w:t>
      </w:r>
      <w:r>
        <w:rPr>
          <w:rFonts w:hint="eastAsia" w:ascii="仿宋_GB2312" w:hAnsi="仿宋_GB2312" w:eastAsia="仿宋_GB2312" w:cs="仿宋_GB2312"/>
          <w:sz w:val="32"/>
          <w:szCs w:val="32"/>
        </w:rPr>
        <w:t>。</w:t>
      </w:r>
    </w:p>
    <w:p w14:paraId="7DB68FA4">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605" w:name="_Toc7803"/>
      <w:bookmarkStart w:id="606" w:name="_Toc11"/>
      <w:bookmarkStart w:id="607" w:name="_Toc105507241"/>
      <w:bookmarkStart w:id="608" w:name="_Toc6823"/>
      <w:bookmarkStart w:id="609" w:name="_Toc4083"/>
      <w:bookmarkStart w:id="610" w:name="_Toc11108"/>
      <w:bookmarkStart w:id="611" w:name="_Toc6381"/>
      <w:bookmarkStart w:id="612" w:name="_Toc11743"/>
      <w:bookmarkStart w:id="613" w:name="_Toc7853"/>
      <w:bookmarkStart w:id="614" w:name="_Toc9648"/>
      <w:bookmarkStart w:id="615" w:name="_Toc13745"/>
      <w:bookmarkStart w:id="616" w:name="_Toc105055036"/>
      <w:bookmarkStart w:id="617" w:name="_Toc18335"/>
      <w:bookmarkStart w:id="618" w:name="_Toc28720"/>
      <w:bookmarkStart w:id="619" w:name="_Toc31035"/>
      <w:bookmarkStart w:id="620" w:name="_Toc6164"/>
      <w:bookmarkStart w:id="621" w:name="_Toc5119"/>
      <w:bookmarkStart w:id="622" w:name="_Toc3075"/>
      <w:r>
        <w:rPr>
          <w:rFonts w:hint="eastAsia" w:ascii="仿宋_GB2312" w:hAnsi="仿宋_GB2312" w:eastAsia="仿宋_GB2312" w:cs="仿宋_GB2312"/>
          <w:b/>
          <w:bCs/>
          <w:sz w:val="32"/>
          <w:szCs w:val="32"/>
        </w:rPr>
        <w:t>3.建设现代化种鱼养殖基地</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Pr>
          <w:rFonts w:hint="eastAsia" w:ascii="仿宋_GB2312" w:hAnsi="仿宋_GB2312" w:eastAsia="仿宋_GB2312" w:cs="仿宋_GB2312"/>
          <w:b/>
          <w:bCs/>
          <w:sz w:val="32"/>
          <w:szCs w:val="32"/>
        </w:rPr>
        <w:t>。</w:t>
      </w:r>
      <w:bookmarkStart w:id="623" w:name="_Toc105055035"/>
      <w:r>
        <w:rPr>
          <w:rFonts w:hint="eastAsia" w:ascii="仿宋_GB2312" w:hAnsi="仿宋_GB2312" w:eastAsia="仿宋_GB2312" w:cs="仿宋_GB2312"/>
          <w:sz w:val="32"/>
          <w:szCs w:val="32"/>
        </w:rPr>
        <w:t>鼓励企业提升改造标准化养殖设施，开展节水型规模化大批量苗种繁育生产技术研究，</w:t>
      </w:r>
      <w:r>
        <w:rPr>
          <w:rFonts w:hint="eastAsia" w:ascii="仿宋_GB2312" w:hAnsi="仿宋_GB2312" w:eastAsia="仿宋_GB2312" w:cs="仿宋_GB2312"/>
          <w:sz w:val="32"/>
          <w:szCs w:val="32"/>
          <w:lang w:val="zh-CN"/>
        </w:rPr>
        <w:t>推广智能化产能转换循环水养殖，</w:t>
      </w:r>
      <w:r>
        <w:rPr>
          <w:rFonts w:hint="eastAsia" w:ascii="仿宋_GB2312" w:hAnsi="仿宋_GB2312" w:eastAsia="仿宋_GB2312" w:cs="仿宋_GB2312"/>
          <w:sz w:val="32"/>
          <w:szCs w:val="32"/>
        </w:rPr>
        <w:t>结合养殖品种结构，进一步提高单位水体的苗种繁育生产能力。</w:t>
      </w:r>
      <w:bookmarkEnd w:id="623"/>
      <w:bookmarkStart w:id="624" w:name="_Toc2185"/>
      <w:bookmarkStart w:id="625" w:name="_Toc26456"/>
      <w:bookmarkStart w:id="626" w:name="_Toc10711"/>
      <w:bookmarkStart w:id="627" w:name="_Toc105507243"/>
      <w:bookmarkStart w:id="628" w:name="_Toc21230"/>
      <w:bookmarkStart w:id="629" w:name="_Toc1344"/>
      <w:bookmarkStart w:id="630" w:name="_Toc20703"/>
      <w:bookmarkStart w:id="631" w:name="_Toc24636"/>
      <w:bookmarkStart w:id="632" w:name="_Toc7975"/>
      <w:bookmarkStart w:id="633" w:name="_Toc569"/>
      <w:bookmarkStart w:id="634" w:name="_Toc16663"/>
      <w:bookmarkStart w:id="635" w:name="_Toc16906"/>
      <w:bookmarkStart w:id="636" w:name="_Toc26135"/>
      <w:bookmarkStart w:id="637" w:name="_Toc1382"/>
      <w:bookmarkStart w:id="638" w:name="_Toc1357"/>
      <w:bookmarkStart w:id="639" w:name="_Toc6676"/>
      <w:bookmarkStart w:id="640" w:name="_Toc20752"/>
    </w:p>
    <w:p w14:paraId="66FCE272">
      <w:pPr>
        <w:pStyle w:val="2"/>
        <w:pageBreakBefore w:val="0"/>
        <w:kinsoku/>
        <w:wordWrap/>
        <w:topLinePunct w:val="0"/>
        <w:autoSpaceDE/>
        <w:autoSpaceDN/>
        <w:bidi w:val="0"/>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4.建设观赏鱼产业融合园区</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建设集养殖繁育、科研会展、物流销售、休闲观光、文化体验功能于一体的现代都市型渔业升级示范园区。围绕观赏鱼育种创新、孵化繁育、标准化养殖、物流配送、科技研发、饲料加工、配套服务、文化传承、休闲观光全产业链构建，实现观赏鱼全产业链深度发展。</w:t>
      </w:r>
    </w:p>
    <w:p w14:paraId="14D2641E">
      <w:pPr>
        <w:pageBreakBefore w:val="0"/>
        <w:kinsoku/>
        <w:wordWrap/>
        <w:topLinePunct w:val="0"/>
        <w:autoSpaceDE/>
        <w:autoSpaceDN/>
        <w:bidi w:val="0"/>
        <w:spacing w:line="560" w:lineRule="exact"/>
        <w:ind w:firstLine="641" w:firstLineChars="0"/>
        <w:rPr>
          <w:rFonts w:hint="eastAsia" w:ascii="仿宋_GB2312" w:hAnsi="仿宋_GB2312" w:eastAsia="仿宋_GB2312" w:cs="仿宋_GB2312"/>
          <w:sz w:val="32"/>
          <w:szCs w:val="32"/>
        </w:rPr>
      </w:pPr>
      <w:r>
        <w:rPr>
          <w:rFonts w:hint="eastAsia" w:ascii="楷体" w:hAnsi="楷体" w:eastAsia="楷体" w:cs="楷体"/>
          <w:b w:val="0"/>
          <w:bCs/>
          <w:sz w:val="32"/>
          <w:szCs w:val="32"/>
        </w:rPr>
        <w:t>（四）做强种蟹产业。</w:t>
      </w:r>
      <w:r>
        <w:rPr>
          <w:rStyle w:val="55"/>
          <w:rFonts w:hint="eastAsia" w:ascii="仿宋_GB2312" w:hAnsi="仿宋_GB2312" w:eastAsia="仿宋_GB2312" w:cs="仿宋_GB2312"/>
          <w:sz w:val="32"/>
          <w:szCs w:val="32"/>
        </w:rPr>
        <w:t>建立以七里海河蟹产业公司、天津玖润现代农业科技有限公司为代表的种蟹繁育平台，借助天津师范大学生命科学学院、天津市水产研究所、天津市动物疫病预防控制中心为代表的技术创新载体，形成“七里海香蟹”育、繁、推一体化技术体系和生产平台，进一步加强种蟹基地建设。</w:t>
      </w:r>
      <w:r>
        <w:rPr>
          <w:rFonts w:hint="eastAsia" w:ascii="仿宋_GB2312" w:hAnsi="仿宋_GB2312" w:eastAsia="仿宋_GB2312" w:cs="仿宋_GB2312"/>
          <w:sz w:val="32"/>
          <w:szCs w:val="32"/>
        </w:rPr>
        <w:t>到2025年末，力争建设七里海香蟹孵化基地 150亩，年产大眼幼体 4200 公斤，扣蟹 16万公斤。</w:t>
      </w:r>
    </w:p>
    <w:p w14:paraId="0E836CFF">
      <w:pPr>
        <w:pageBreakBefore w:val="0"/>
        <w:kinsoku/>
        <w:wordWrap/>
        <w:topLinePunct w:val="0"/>
        <w:autoSpaceDE/>
        <w:autoSpaceDN/>
        <w:bidi w:val="0"/>
        <w:spacing w:line="560" w:lineRule="exact"/>
        <w:ind w:firstLine="641" w:firstLineChars="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1.提升优质香蟹选育技术水平</w:t>
      </w:r>
      <w:r>
        <w:rPr>
          <w:rFonts w:hint="eastAsia" w:ascii="仿宋_GB2312" w:hAnsi="仿宋_GB2312" w:eastAsia="仿宋_GB2312" w:cs="仿宋_GB2312"/>
          <w:sz w:val="32"/>
          <w:szCs w:val="32"/>
        </w:rPr>
        <w:t>。采用河蟹良种亲体培育、亲体同步化促熟及苗种健康繁育等技术，突破优质亲体和苗种规模化繁育及标准化生产工艺，从其他区域引进绒螯蟹原种，提高选育群体基因多样性，改善选育效果，加快选育速度。继续实施七里海香蟹增殖放流工作，加强七里海香蟹的自然选择，培育优质自然生态群体，提升七里海香蟹种质水平。</w:t>
      </w:r>
    </w:p>
    <w:p w14:paraId="1E562BF6">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zh-CN"/>
        </w:rPr>
        <w:t>2.建设</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zh-CN"/>
        </w:rPr>
        <w:t>七里海香蟹”种业基地。</w:t>
      </w:r>
      <w:r>
        <w:rPr>
          <w:rFonts w:hint="eastAsia" w:ascii="仿宋_GB2312" w:hAnsi="仿宋_GB2312" w:eastAsia="仿宋_GB2312" w:cs="仿宋_GB2312"/>
          <w:sz w:val="32"/>
          <w:szCs w:val="32"/>
        </w:rPr>
        <w:t>鼓励支持七里海香蟹龙头企业与高校和科研院所建设联合扩繁基地和保种场。承接市级河蟹遗传育种研发、生殖发育调控技术，选育F12代良种。开展种质资源保存、品种选育、提纯复壮和良种推广，规范种蟹良种扩繁、示范养殖、储养交易、生态养殖等功能区。</w:t>
      </w:r>
    </w:p>
    <w:p w14:paraId="6C210200">
      <w:pPr>
        <w:pageBreakBefore w:val="0"/>
        <w:kinsoku/>
        <w:wordWrap/>
        <w:topLinePunct w:val="0"/>
        <w:autoSpaceDE/>
        <w:autoSpaceDN/>
        <w:bidi w:val="0"/>
        <w:spacing w:line="560" w:lineRule="exact"/>
        <w:ind w:firstLine="641" w:firstLineChars="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3.做大“稻蟹”综合种养。</w:t>
      </w:r>
      <w:r>
        <w:rPr>
          <w:rFonts w:hint="eastAsia" w:ascii="仿宋_GB2312" w:hAnsi="仿宋_GB2312" w:eastAsia="仿宋_GB2312" w:cs="仿宋_GB2312"/>
          <w:sz w:val="32"/>
          <w:szCs w:val="32"/>
        </w:rPr>
        <w:t>加强七里海香蟹绿色生态健康养殖技术的研发，大力发展绿色生态健康养殖和稻蟹共生复合生态种养模式。建设良种供应设施齐全、农田水利设施完备、技术培训服务体系健全、质量检测体系完备的优质蟹稻标准化养殖种植基地。充分利用七里海古海岸和湿地自然保护区周边水域资源和各街镇稻田，实施七里海香蟹标准化养殖池塘提升工程和稻蟹生态养殖工程。到2025年末，稻蟹混养面积达到15万亩，产值达到1.5亿元。</w:t>
      </w:r>
    </w:p>
    <w:p w14:paraId="66D80ACA">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4.提升“七里海香蟹”品牌价值。</w:t>
      </w:r>
      <w:r>
        <w:rPr>
          <w:rFonts w:hint="eastAsia" w:ascii="仿宋_GB2312" w:hAnsi="仿宋_GB2312" w:eastAsia="仿宋_GB2312" w:cs="仿宋_GB2312"/>
          <w:sz w:val="32"/>
          <w:szCs w:val="32"/>
        </w:rPr>
        <w:t>制定七里海香蟹产品和质量标准，加强质量监管，建立七里海香蟹产品质量安全追溯体系，挖掘“七里海香蟹”作为宁河区特产、天津市名牌农产品、国家地理标志产品的文化内涵，讲好香蟹故事，多渠道拓展“七里海香蟹”品牌在外省市的知名度，力争做到河蟹产业链条中每个节点品质可控可追溯，逐渐提高消费者的认可度与忠诚度，真正获得“七里海香蟹”品牌的溢价收益。</w:t>
      </w:r>
    </w:p>
    <w:p w14:paraId="76D8F025">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5.培育“七里海香蟹”龙头企业。</w:t>
      </w:r>
      <w:r>
        <w:rPr>
          <w:rFonts w:hint="eastAsia" w:ascii="仿宋_GB2312" w:hAnsi="仿宋_GB2312" w:eastAsia="仿宋_GB2312" w:cs="仿宋_GB2312"/>
          <w:sz w:val="32"/>
          <w:szCs w:val="32"/>
        </w:rPr>
        <w:t>延伸“七里海香蟹”生态产业链，示范带动区域内河蟹养殖企业，推动河蟹养殖上下游产业链实现全面高质量发展。发挥七里海香蟹协会的融合指导作用，开展河蟹养殖培训，发布河蟹苗种、防病、销售信息，促进生产、销售、加工基地建设协调发展。成立七里海香蟹研究院，搭建七里海香蟹育种、繁殖、绿色生产、鲜活储养与加工等产业关键核心技术研发平台，聚集国内及我市河蟹种业和高效生产专门技术人才落户宁河区，以科技创新助力七里海香蟹产业不断壮大和绿色发展。</w:t>
      </w:r>
    </w:p>
    <w:p w14:paraId="695F262D">
      <w:pPr>
        <w:pStyle w:val="29"/>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（五）做强种苗产业。</w:t>
      </w:r>
      <w:r>
        <w:rPr>
          <w:rFonts w:hint="eastAsia" w:ascii="仿宋_GB2312" w:hAnsi="仿宋_GB2312" w:eastAsia="仿宋_GB2312" w:cs="仿宋_GB2312"/>
          <w:sz w:val="32"/>
          <w:szCs w:val="32"/>
        </w:rPr>
        <w:t>依托天津百利种苗培育有限公司、齐心菌类种植有限公司等龙头企业发展集约化绿色种苗产业，推广应用“蔬菜标准化生产技术，工厂化育苗技术，集约化蔬菜嫁接技术”等适用蔬菜生产新技术，打造蔬菜选种、育苗、种植、销售的一条龙服务体系，实现节本增效。</w:t>
      </w:r>
    </w:p>
    <w:p w14:paraId="6754390B">
      <w:pPr>
        <w:pStyle w:val="29"/>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641" w:name="_Toc19005"/>
      <w:bookmarkStart w:id="642" w:name="_Toc3577"/>
      <w:bookmarkStart w:id="643" w:name="_Toc5559"/>
      <w:bookmarkStart w:id="644" w:name="_Toc7828"/>
      <w:bookmarkStart w:id="645" w:name="_Toc3752"/>
      <w:bookmarkStart w:id="646" w:name="_Toc20723"/>
      <w:bookmarkStart w:id="647" w:name="_Toc25477"/>
      <w:bookmarkStart w:id="648" w:name="_Toc16698"/>
      <w:bookmarkStart w:id="649" w:name="_Toc22553"/>
      <w:bookmarkStart w:id="650" w:name="_Toc3211"/>
      <w:bookmarkStart w:id="651" w:name="_Toc632"/>
      <w:bookmarkStart w:id="652" w:name="_Toc7219"/>
      <w:bookmarkStart w:id="653" w:name="_Toc20792"/>
      <w:bookmarkStart w:id="654" w:name="_Toc15697"/>
      <w:bookmarkStart w:id="655" w:name="_Toc8873"/>
      <w:bookmarkStart w:id="656" w:name="_Toc26738"/>
      <w:bookmarkStart w:id="657" w:name="_Toc105507245"/>
      <w:r>
        <w:rPr>
          <w:rFonts w:hint="eastAsia" w:ascii="仿宋_GB2312" w:hAnsi="仿宋_GB2312" w:eastAsia="仿宋_GB2312" w:cs="仿宋_GB2312"/>
          <w:b/>
          <w:bCs/>
          <w:sz w:val="32"/>
          <w:szCs w:val="32"/>
        </w:rPr>
        <w:t>1.建设蔬菜新品种选育</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Pr>
          <w:rFonts w:hint="eastAsia" w:ascii="仿宋_GB2312" w:hAnsi="仿宋_GB2312" w:eastAsia="仿宋_GB2312" w:cs="仿宋_GB2312"/>
          <w:b/>
          <w:bCs/>
          <w:sz w:val="32"/>
          <w:szCs w:val="32"/>
        </w:rPr>
        <w:t>推广基地。</w:t>
      </w:r>
      <w:r>
        <w:rPr>
          <w:rFonts w:hint="eastAsia" w:ascii="仿宋_GB2312" w:hAnsi="仿宋_GB2312" w:eastAsia="仿宋_GB2312" w:cs="仿宋_GB2312"/>
          <w:sz w:val="32"/>
          <w:szCs w:val="32"/>
        </w:rPr>
        <w:t>以百利种苗培育有限公司为核心，建立精品蔬菜育种基地，整合全区种业要素和资源，加快蔬菜新品种选育与推广，重点培育“高产、优质、多抗、耐贮运”且生产性状优异的高端设施蔬菜品种；提升种苗繁育设施设备，加强种苗嫁接技术研究，提高种子商品质量，提高制种竞争力。</w:t>
      </w:r>
    </w:p>
    <w:p w14:paraId="2666EEAB">
      <w:pPr>
        <w:pStyle w:val="29"/>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658" w:name="_Toc25907"/>
      <w:bookmarkStart w:id="659" w:name="_Toc13076"/>
      <w:bookmarkStart w:id="660" w:name="_Toc19450"/>
      <w:bookmarkStart w:id="661" w:name="_Toc14703"/>
      <w:bookmarkStart w:id="662" w:name="_Toc17109"/>
      <w:bookmarkStart w:id="663" w:name="_Toc2682"/>
      <w:bookmarkStart w:id="664" w:name="_Toc8101"/>
      <w:bookmarkStart w:id="665" w:name="_Toc27847"/>
      <w:bookmarkStart w:id="666" w:name="_Toc31519"/>
      <w:bookmarkStart w:id="667" w:name="_Toc2010"/>
      <w:bookmarkStart w:id="668" w:name="_Toc7943"/>
      <w:bookmarkStart w:id="669" w:name="_Toc30985"/>
      <w:bookmarkStart w:id="670" w:name="_Toc8250"/>
      <w:bookmarkStart w:id="671" w:name="_Toc9467"/>
      <w:bookmarkStart w:id="672" w:name="_Toc23547"/>
      <w:bookmarkStart w:id="673" w:name="_Toc27179"/>
      <w:bookmarkStart w:id="674" w:name="_Toc1159"/>
      <w:bookmarkStart w:id="675" w:name="_Toc105507247"/>
      <w:bookmarkStart w:id="676" w:name="_Toc10983"/>
      <w:bookmarkStart w:id="677" w:name="_Toc25032"/>
      <w:r>
        <w:rPr>
          <w:rFonts w:hint="eastAsia" w:ascii="仿宋_GB2312" w:hAnsi="仿宋_GB2312" w:eastAsia="仿宋_GB2312" w:cs="仿宋_GB2312"/>
          <w:b/>
          <w:bCs/>
          <w:sz w:val="32"/>
          <w:szCs w:val="32"/>
        </w:rPr>
        <w:t>2.做大珍稀食用菌种培育</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Pr>
          <w:rFonts w:hint="eastAsia" w:ascii="仿宋_GB2312" w:hAnsi="仿宋_GB2312" w:eastAsia="仿宋_GB2312" w:cs="仿宋_GB2312"/>
          <w:b/>
          <w:bCs/>
          <w:sz w:val="32"/>
          <w:szCs w:val="32"/>
        </w:rPr>
        <w:t>产业园。</w:t>
      </w:r>
      <w:r>
        <w:rPr>
          <w:rFonts w:hint="eastAsia" w:ascii="仿宋_GB2312" w:hAnsi="仿宋_GB2312" w:eastAsia="仿宋_GB2312" w:cs="仿宋_GB2312"/>
          <w:sz w:val="32"/>
          <w:szCs w:val="32"/>
        </w:rPr>
        <w:t>依托天津齐心菌类种植有限公司，开发食用菌新品种，以珍稀食用菌工厂化生产为主导，建设集全国先进的食用菌工厂化菌种制备、工艺栽培、生态农业观光旅游于一体的珍稀食用菌生产基地。打造食用菌市级技术研发中心和青少年科普教育基地。</w:t>
      </w:r>
    </w:p>
    <w:p w14:paraId="2F594639">
      <w:pPr>
        <w:pStyle w:val="29"/>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678" w:name="_Toc11719"/>
      <w:bookmarkStart w:id="679" w:name="_Toc27612"/>
      <w:bookmarkStart w:id="680" w:name="_Toc105507246"/>
      <w:bookmarkStart w:id="681" w:name="_Toc32124"/>
      <w:bookmarkStart w:id="682" w:name="_Toc11370"/>
      <w:bookmarkStart w:id="683" w:name="_Toc27269"/>
      <w:bookmarkStart w:id="684" w:name="_Toc11195"/>
      <w:bookmarkStart w:id="685" w:name="_Toc20411"/>
      <w:bookmarkStart w:id="686" w:name="_Toc18328"/>
      <w:bookmarkStart w:id="687" w:name="_Toc4015"/>
      <w:bookmarkStart w:id="688" w:name="_Toc22782"/>
      <w:bookmarkStart w:id="689" w:name="_Toc5860"/>
      <w:bookmarkStart w:id="690" w:name="_Toc26285"/>
      <w:bookmarkStart w:id="691" w:name="_Toc4415"/>
      <w:bookmarkStart w:id="692" w:name="_Toc21789"/>
      <w:bookmarkStart w:id="693" w:name="_Toc4826"/>
      <w:bookmarkStart w:id="694" w:name="_Toc24849"/>
      <w:bookmarkStart w:id="695" w:name="_Toc26976"/>
      <w:bookmarkStart w:id="696" w:name="_Toc15391"/>
      <w:bookmarkStart w:id="697" w:name="_Toc3698"/>
      <w:r>
        <w:rPr>
          <w:rFonts w:hint="eastAsia" w:ascii="仿宋_GB2312" w:hAnsi="仿宋_GB2312" w:eastAsia="仿宋_GB2312" w:cs="仿宋_GB2312"/>
          <w:b/>
          <w:bCs/>
          <w:sz w:val="32"/>
          <w:szCs w:val="32"/>
        </w:rPr>
        <w:t>3.打造北方进口花卉种球集散地</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依托阿姆斯特（天津）农牧科技有限公司，引进国外草种花卉及种球，建设进口花卉驯化实验基地，发展成为以观光体验、科普教育、休闲娱乐、度假养生为主的复合式花卉主题休闲旅游目的地。</w:t>
      </w:r>
    </w:p>
    <w:p w14:paraId="2AF95748">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698" w:name="_Toc574051023_WPSOffice_Level2"/>
      <w:bookmarkStart w:id="699" w:name="_Toc122078293"/>
      <w:r>
        <w:rPr>
          <w:rFonts w:hint="eastAsia" w:ascii="黑体" w:hAnsi="黑体" w:eastAsia="黑体" w:cs="黑体"/>
          <w:b w:val="0"/>
          <w:bCs/>
          <w:sz w:val="32"/>
          <w:szCs w:val="32"/>
        </w:rPr>
        <w:t>二、做强十大特色农产品品牌</w:t>
      </w:r>
      <w:bookmarkEnd w:id="698"/>
      <w:bookmarkEnd w:id="699"/>
    </w:p>
    <w:p w14:paraId="10E1BF05">
      <w:pPr>
        <w:pageBreakBefore w:val="0"/>
        <w:kinsoku/>
        <w:wordWrap/>
        <w:topLinePunct w:val="0"/>
        <w:autoSpaceDE/>
        <w:autoSpaceDN/>
        <w:bidi w:val="0"/>
        <w:spacing w:line="560" w:lineRule="exact"/>
        <w:ind w:firstLine="64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运用市场化标准化手段，做优做强地理标识产品，深挖宁河农产品文化，讲好品牌故事，着力打造“三红两紫一青四白”等农产品品牌，加快绿色食品技术研发，培育农产品加工品牌，提升农产品溢价空间。</w:t>
      </w:r>
    </w:p>
    <w:p w14:paraId="7FC05679">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lang w:val="en"/>
        </w:rPr>
      </w:pPr>
      <w:r>
        <w:rPr>
          <w:rFonts w:hint="eastAsia" w:ascii="楷体" w:hAnsi="楷体" w:eastAsia="楷体" w:cs="楷体"/>
          <w:b w:val="0"/>
          <w:bCs/>
          <w:sz w:val="32"/>
          <w:szCs w:val="32"/>
          <w:lang w:val="en"/>
        </w:rPr>
        <w:t>（一）做好“三红”：红椒、红薯、西红柿。</w:t>
      </w:r>
      <w:r>
        <w:rPr>
          <w:rFonts w:hint="eastAsia" w:ascii="仿宋_GB2312" w:hAnsi="仿宋_GB2312" w:eastAsia="仿宋_GB2312" w:cs="仿宋_GB2312"/>
          <w:sz w:val="32"/>
          <w:szCs w:val="32"/>
          <w:lang w:val="en"/>
        </w:rPr>
        <w:t>以岳龙镇、丰台镇、苗庄镇、板桥镇为重点，结合现有种植基础，发挥板桥镇赵学村西红柿富硒富锶资源优势，岳龙等镇的红辣椒、红薯等农产品先期优势，进一步优化农产品种植品种，实施差异化、规模化和标准化种植，创新开发深加工产品。</w:t>
      </w:r>
    </w:p>
    <w:p w14:paraId="1E3821B1">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lang w:val="en"/>
        </w:rPr>
        <w:t>（二）做响“两紫”：七里海紫蟹、葡萄。</w:t>
      </w:r>
      <w:r>
        <w:rPr>
          <w:rFonts w:hint="eastAsia" w:ascii="仿宋_GB2312" w:hAnsi="仿宋_GB2312" w:eastAsia="仿宋_GB2312" w:cs="仿宋_GB2312"/>
          <w:sz w:val="32"/>
          <w:szCs w:val="32"/>
          <w:lang w:val="en"/>
        </w:rPr>
        <w:t>发挥七里海香蟹、七里海玫瑰香葡萄的风味独特、品质优异、地域特色明显的资源优势，扩大品牌影响力。积极开展七里海香蟹国家级农产品区域公用品牌创建工作，鼓励七里海香蟹生产企业积极参加天津市知名农产品企业产品品牌评选。积极推动新“三品一标”认证工作，依托协会做好“七里海香蟹”商标、国家地理标识的使用管理，加快推进品牌塑造提升。到</w:t>
      </w:r>
      <w:r>
        <w:rPr>
          <w:rFonts w:hint="eastAsia" w:ascii="仿宋_GB2312" w:hAnsi="仿宋_GB2312" w:eastAsia="仿宋_GB2312" w:cs="仿宋_GB2312"/>
          <w:sz w:val="32"/>
          <w:szCs w:val="32"/>
        </w:rPr>
        <w:t>2025年末，</w:t>
      </w:r>
      <w:r>
        <w:rPr>
          <w:rFonts w:hint="eastAsia" w:ascii="仿宋_GB2312" w:hAnsi="仿宋_GB2312" w:eastAsia="仿宋_GB2312" w:cs="仿宋_GB2312"/>
          <w:sz w:val="32"/>
          <w:szCs w:val="32"/>
          <w:lang w:val="en"/>
        </w:rPr>
        <w:t>七里海香蟹养殖面积达到</w:t>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val="en"/>
        </w:rPr>
        <w:t>万亩，产量达到</w:t>
      </w:r>
      <w:r>
        <w:rPr>
          <w:rFonts w:hint="eastAsia" w:ascii="仿宋_GB2312" w:hAnsi="仿宋_GB2312" w:eastAsia="仿宋_GB2312" w:cs="仿宋_GB2312"/>
          <w:sz w:val="32"/>
          <w:szCs w:val="32"/>
        </w:rPr>
        <w:t xml:space="preserve"> 240万公斤</w:t>
      </w:r>
      <w:r>
        <w:rPr>
          <w:rFonts w:hint="eastAsia" w:ascii="仿宋_GB2312" w:hAnsi="仿宋_GB2312" w:eastAsia="仿宋_GB2312" w:cs="仿宋_GB2312"/>
          <w:sz w:val="32"/>
          <w:szCs w:val="32"/>
          <w:lang w:val="en"/>
        </w:rPr>
        <w:t>、葡萄种植面积达到</w:t>
      </w:r>
      <w:r>
        <w:rPr>
          <w:rFonts w:hint="eastAsia" w:ascii="仿宋_GB2312" w:hAnsi="仿宋_GB2312" w:eastAsia="仿宋_GB2312" w:cs="仿宋_GB2312"/>
          <w:sz w:val="32"/>
          <w:szCs w:val="32"/>
        </w:rPr>
        <w:t>0.6万亩，</w:t>
      </w:r>
      <w:r>
        <w:rPr>
          <w:rFonts w:hint="eastAsia" w:ascii="仿宋_GB2312" w:hAnsi="仿宋_GB2312" w:eastAsia="仿宋_GB2312" w:cs="仿宋_GB2312"/>
          <w:sz w:val="32"/>
          <w:szCs w:val="32"/>
          <w:lang w:val="en"/>
        </w:rPr>
        <w:t>产量达到</w:t>
      </w:r>
      <w:r>
        <w:rPr>
          <w:rFonts w:hint="eastAsia" w:ascii="仿宋_GB2312" w:hAnsi="仿宋_GB2312" w:eastAsia="仿宋_GB2312" w:cs="仿宋_GB2312"/>
          <w:sz w:val="32"/>
          <w:szCs w:val="32"/>
        </w:rPr>
        <w:t xml:space="preserve"> 1500万公斤。</w:t>
      </w:r>
    </w:p>
    <w:p w14:paraId="632A7241">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lang w:val="en"/>
        </w:rPr>
        <w:t>（三）做大“一青”：青菜。</w:t>
      </w:r>
      <w:r>
        <w:rPr>
          <w:rFonts w:hint="eastAsia" w:ascii="仿宋_GB2312" w:hAnsi="仿宋_GB2312" w:eastAsia="仿宋_GB2312" w:cs="仿宋_GB2312"/>
          <w:sz w:val="32"/>
          <w:szCs w:val="32"/>
          <w:lang w:val="en"/>
        </w:rPr>
        <w:t>筛选一批适合宁河本地的优良青菜品种及种植方式，以“一村一品”促进青菜集聚发展，建立在地蔬菜（农产品）技术开发，重点推广集约化育苗、设施土壤活化、节水灌溉、水肥综合利用、病虫害绿色防控、轻简栽培、灾害天气应对和精品蔬菜栽培等关键技术，全方位增强科技对青菜产业发展的支撑能力，形成宁河蔬菜品牌特色。到</w:t>
      </w:r>
      <w:r>
        <w:rPr>
          <w:rFonts w:hint="eastAsia" w:ascii="仿宋_GB2312" w:hAnsi="仿宋_GB2312" w:eastAsia="仿宋_GB2312" w:cs="仿宋_GB2312"/>
          <w:sz w:val="32"/>
          <w:szCs w:val="32"/>
        </w:rPr>
        <w:t>2025年末，</w:t>
      </w:r>
      <w:r>
        <w:rPr>
          <w:rFonts w:hint="eastAsia" w:ascii="仿宋_GB2312" w:hAnsi="仿宋_GB2312" w:eastAsia="仿宋_GB2312" w:cs="仿宋_GB2312"/>
          <w:sz w:val="32"/>
          <w:szCs w:val="32"/>
          <w:lang w:val="en"/>
        </w:rPr>
        <w:t>青菜种植面积</w:t>
      </w:r>
      <w:r>
        <w:rPr>
          <w:rFonts w:hint="eastAsia" w:ascii="仿宋_GB2312" w:hAnsi="仿宋_GB2312" w:eastAsia="仿宋_GB2312" w:cs="仿宋_GB2312"/>
          <w:sz w:val="32"/>
          <w:szCs w:val="32"/>
        </w:rPr>
        <w:t>达到7.5万亩，产值达到4.5亿元。</w:t>
      </w:r>
    </w:p>
    <w:p w14:paraId="5C06931D">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1.提升发展设施农业。</w:t>
      </w:r>
      <w:r>
        <w:rPr>
          <w:rFonts w:hint="eastAsia" w:ascii="仿宋_GB2312" w:hAnsi="仿宋_GB2312" w:eastAsia="仿宋_GB2312" w:cs="仿宋_GB2312"/>
          <w:sz w:val="32"/>
          <w:szCs w:val="32"/>
          <w:lang w:val="en"/>
        </w:rPr>
        <w:t>依托农业合作社、家庭农场等龙头企业，建设提升设施农业3万亩。发展以种植业为主的各类生产设施和种苗繁育、储藏保鲜、初加工等各类服务性设施，扩大设施叶菜种植规模。</w:t>
      </w:r>
    </w:p>
    <w:p w14:paraId="5BA8DF8D">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2.建设科技农业种植示范区</w:t>
      </w:r>
      <w:r>
        <w:rPr>
          <w:rFonts w:hint="eastAsia" w:ascii="仿宋_GB2312" w:hAnsi="仿宋_GB2312" w:eastAsia="仿宋_GB2312" w:cs="仿宋_GB2312"/>
          <w:sz w:val="32"/>
          <w:szCs w:val="32"/>
          <w:lang w:val="en"/>
        </w:rPr>
        <w:t>。坚持科技支撑、农技农艺相结合，建设有机设施蔬菜高科技示范园，重点承担设施农业适度规模生产示范功能，开展设施蔬菜生产关键技术研究，提高都市农业功能。</w:t>
      </w:r>
    </w:p>
    <w:p w14:paraId="6FCC0CD7">
      <w:pPr>
        <w:pageBreakBefore w:val="0"/>
        <w:kinsoku/>
        <w:wordWrap/>
        <w:topLinePunct w:val="0"/>
        <w:autoSpaceDE/>
        <w:autoSpaceDN/>
        <w:bidi w:val="0"/>
        <w:spacing w:line="560" w:lineRule="exact"/>
        <w:ind w:firstLine="633"/>
        <w:rPr>
          <w:rFonts w:hint="eastAsia" w:ascii="楷体" w:hAnsi="楷体" w:eastAsia="楷体" w:cs="楷体"/>
          <w:b w:val="0"/>
          <w:bCs/>
          <w:w w:val="98"/>
          <w:sz w:val="32"/>
          <w:szCs w:val="32"/>
          <w:lang w:val="en"/>
        </w:rPr>
      </w:pPr>
      <w:r>
        <w:rPr>
          <w:rFonts w:hint="eastAsia" w:ascii="楷体" w:hAnsi="楷体" w:eastAsia="楷体" w:cs="楷体"/>
          <w:b w:val="0"/>
          <w:bCs/>
          <w:w w:val="98"/>
          <w:sz w:val="32"/>
          <w:szCs w:val="32"/>
          <w:lang w:val="en"/>
        </w:rPr>
        <w:t>（四）做优“四白”：宁河大米，白鳞鱼，长白猪，白色食用菌。</w:t>
      </w:r>
    </w:p>
    <w:p w14:paraId="46FE24F9">
      <w:pPr>
        <w:pageBreakBefore w:val="0"/>
        <w:kinsoku/>
        <w:wordWrap/>
        <w:topLinePunct w:val="0"/>
        <w:autoSpaceDE/>
        <w:autoSpaceDN/>
        <w:bidi w:val="0"/>
        <w:spacing w:line="560" w:lineRule="exact"/>
        <w:ind w:firstLine="633"/>
        <w:rPr>
          <w:rFonts w:hint="eastAsia" w:ascii="仿宋_GB2312" w:hAnsi="仿宋_GB2312" w:eastAsia="仿宋_GB2312" w:cs="仿宋_GB2312"/>
          <w:sz w:val="32"/>
          <w:szCs w:val="32"/>
        </w:rPr>
      </w:pPr>
      <w:r>
        <w:rPr>
          <w:rFonts w:hint="eastAsia" w:ascii="仿宋_GB2312" w:hAnsi="仿宋_GB2312" w:eastAsia="仿宋_GB2312" w:cs="仿宋_GB2312"/>
          <w:b/>
          <w:w w:val="98"/>
          <w:sz w:val="32"/>
          <w:szCs w:val="32"/>
          <w:lang w:val="en"/>
        </w:rPr>
        <w:t>1.</w:t>
      </w:r>
      <w:r>
        <w:rPr>
          <w:rFonts w:hint="eastAsia" w:ascii="仿宋_GB2312" w:hAnsi="仿宋_GB2312" w:eastAsia="仿宋_GB2312" w:cs="仿宋_GB2312"/>
          <w:b/>
          <w:sz w:val="32"/>
          <w:szCs w:val="32"/>
          <w:lang w:val="en"/>
        </w:rPr>
        <w:t>建设以水稻种植为主导的粮食生产区。</w:t>
      </w:r>
      <w:r>
        <w:rPr>
          <w:rFonts w:hint="eastAsia" w:ascii="仿宋_GB2312" w:hAnsi="仿宋_GB2312" w:eastAsia="仿宋_GB2312" w:cs="仿宋_GB2312"/>
          <w:sz w:val="32"/>
          <w:szCs w:val="32"/>
          <w:lang w:val="en"/>
        </w:rPr>
        <w:t>深挖水稻种植在宁河的历史文化，讲好宁河大米品牌故事，推行水稻绿色生产方式和技术模式，建设水稻加工基地，推动产业链条由单一的大米种植向深加工和综合利用的循环经济方向发展。</w:t>
      </w:r>
    </w:p>
    <w:p w14:paraId="638FC408">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
        </w:rPr>
        <w:t>2.建设白鳞鱼现代标准化水产养殖区。</w:t>
      </w:r>
      <w:r>
        <w:rPr>
          <w:rFonts w:hint="eastAsia" w:ascii="仿宋_GB2312" w:hAnsi="仿宋_GB2312" w:eastAsia="仿宋_GB2312" w:cs="仿宋_GB2312"/>
          <w:sz w:val="32"/>
          <w:szCs w:val="32"/>
          <w:lang w:val="en"/>
        </w:rPr>
        <w:t>选建一批规模连片的特色水产品生产示范区。发展设施渔业，培育一批拥有现代化生产设施、现代养殖技术和现代管理方式的渔业企业。全面推行标准化生产，加快推行养殖方式转变。通过产业化带动和辐射作用，形成区域特色名牌水产品。到</w:t>
      </w:r>
      <w:r>
        <w:rPr>
          <w:rFonts w:hint="eastAsia" w:ascii="仿宋_GB2312" w:hAnsi="仿宋_GB2312" w:eastAsia="仿宋_GB2312" w:cs="仿宋_GB2312"/>
          <w:sz w:val="32"/>
          <w:szCs w:val="32"/>
        </w:rPr>
        <w:t>2025年末，淡水鱼类</w:t>
      </w:r>
      <w:r>
        <w:rPr>
          <w:rFonts w:hint="eastAsia" w:ascii="仿宋_GB2312" w:hAnsi="仿宋_GB2312" w:eastAsia="仿宋_GB2312" w:cs="仿宋_GB2312"/>
          <w:sz w:val="32"/>
          <w:szCs w:val="32"/>
          <w:lang w:val="en"/>
        </w:rPr>
        <w:t>养殖</w:t>
      </w:r>
      <w:r>
        <w:rPr>
          <w:rFonts w:hint="eastAsia" w:ascii="仿宋_GB2312" w:hAnsi="仿宋_GB2312" w:eastAsia="仿宋_GB2312" w:cs="仿宋_GB2312"/>
          <w:sz w:val="32"/>
          <w:szCs w:val="32"/>
        </w:rPr>
        <w:t>面积达到 5.4万亩，产值达到 15亿元。</w:t>
      </w:r>
    </w:p>
    <w:p w14:paraId="7CA05459">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
        </w:rPr>
        <w:t>3.建设猪肉深加工产业基地。</w:t>
      </w:r>
      <w:r>
        <w:rPr>
          <w:rFonts w:hint="eastAsia" w:ascii="仿宋_GB2312" w:hAnsi="仿宋_GB2312" w:eastAsia="仿宋_GB2312" w:cs="仿宋_GB2312"/>
          <w:sz w:val="32"/>
          <w:szCs w:val="32"/>
          <w:lang w:val="en"/>
        </w:rPr>
        <w:t>发挥国家级宁河原种猪场带动优势，形成宁河生猪养殖“就近屠宰、冷链运输、冰鲜上市”，推动繁育-养殖-屠宰-销售一体化经营，保障肉品质量安全；在传统的加工基础上，积极开发功能产品、特优产品等新型深加工产品，扩大低温熟肉制品生产规模，发展酱卤、熏烤、腊制等中式肉制品，提高肉制品附加值。</w:t>
      </w:r>
    </w:p>
    <w:p w14:paraId="539062F4">
      <w:pPr>
        <w:pStyle w:val="2"/>
        <w:pageBreakBefore w:val="0"/>
        <w:kinsoku/>
        <w:wordWrap/>
        <w:topLinePunct w:val="0"/>
        <w:autoSpaceDE/>
        <w:autoSpaceDN/>
        <w:bidi w:val="0"/>
        <w:adjustRightInd w:val="0"/>
        <w:snapToGrid w:val="0"/>
        <w:spacing w:line="56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4.建设白色食用菌为主的种植加工基地。</w:t>
      </w:r>
      <w:r>
        <w:rPr>
          <w:rFonts w:hint="eastAsia" w:ascii="仿宋_GB2312" w:hAnsi="仿宋_GB2312" w:eastAsia="仿宋_GB2312" w:cs="仿宋_GB2312"/>
          <w:bCs/>
          <w:sz w:val="32"/>
          <w:szCs w:val="32"/>
        </w:rPr>
        <w:t>提升改造白色食用菌种植基地建设，加快冷库、保鲜库、外遮阳、智能放风等设施建设，加快菌种、菌棒加工、冷链物流项目建设，确保食用菌产加销渠道畅通。</w:t>
      </w:r>
      <w:r>
        <w:rPr>
          <w:rFonts w:hint="eastAsia" w:ascii="仿宋_GB2312" w:hAnsi="仿宋_GB2312" w:eastAsia="仿宋_GB2312" w:cs="仿宋_GB2312"/>
          <w:sz w:val="32"/>
          <w:szCs w:val="32"/>
          <w:lang w:val="en"/>
        </w:rPr>
        <w:t>到2025年末，</w:t>
      </w:r>
      <w:r>
        <w:rPr>
          <w:rFonts w:hint="eastAsia" w:ascii="仿宋_GB2312" w:hAnsi="仿宋_GB2312" w:eastAsia="仿宋_GB2312" w:cs="仿宋_GB2312"/>
          <w:bCs/>
          <w:sz w:val="32"/>
          <w:szCs w:val="32"/>
          <w:lang w:val="en"/>
        </w:rPr>
        <w:t>食用菌种植、加工</w:t>
      </w:r>
      <w:r>
        <w:rPr>
          <w:rFonts w:hint="eastAsia" w:ascii="仿宋_GB2312" w:hAnsi="仿宋_GB2312" w:eastAsia="仿宋_GB2312" w:cs="仿宋_GB2312"/>
          <w:sz w:val="32"/>
          <w:szCs w:val="32"/>
          <w:lang w:val="en"/>
        </w:rPr>
        <w:t>产值达到</w:t>
      </w:r>
      <w:r>
        <w:rPr>
          <w:rFonts w:hint="eastAsia" w:ascii="仿宋_GB2312" w:hAnsi="仿宋_GB2312" w:eastAsia="仿宋_GB2312" w:cs="仿宋_GB2312"/>
          <w:sz w:val="32"/>
          <w:szCs w:val="32"/>
        </w:rPr>
        <w:t>0.5</w:t>
      </w:r>
      <w:r>
        <w:rPr>
          <w:rFonts w:hint="eastAsia" w:ascii="仿宋_GB2312" w:hAnsi="仿宋_GB2312" w:eastAsia="仿宋_GB2312" w:cs="仿宋_GB2312"/>
          <w:sz w:val="32"/>
          <w:szCs w:val="32"/>
          <w:lang w:val="en"/>
        </w:rPr>
        <w:t>亿元。</w:t>
      </w:r>
    </w:p>
    <w:bookmarkEnd w:id="497"/>
    <w:bookmarkEnd w:id="498"/>
    <w:bookmarkEnd w:id="499"/>
    <w:bookmarkEnd w:id="500"/>
    <w:p w14:paraId="1328F582">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700" w:name="_Toc25292"/>
      <w:bookmarkStart w:id="701" w:name="_Toc122078294"/>
      <w:bookmarkStart w:id="702" w:name="_Toc1650"/>
      <w:bookmarkStart w:id="703" w:name="_Toc25587"/>
      <w:bookmarkStart w:id="704" w:name="_Toc30845"/>
      <w:bookmarkStart w:id="705" w:name="_Toc13861"/>
      <w:bookmarkStart w:id="706" w:name="_Toc18797"/>
      <w:bookmarkStart w:id="707" w:name="_Toc1679"/>
      <w:bookmarkStart w:id="708" w:name="_Toc228841706_WPSOffice_Level2"/>
      <w:bookmarkStart w:id="709" w:name="_Toc287"/>
      <w:bookmarkStart w:id="710" w:name="_Toc8750"/>
      <w:bookmarkStart w:id="711" w:name="_Toc2787"/>
      <w:bookmarkStart w:id="712" w:name="_Toc7092"/>
      <w:bookmarkStart w:id="713" w:name="_Toc16307"/>
      <w:bookmarkStart w:id="714" w:name="_Toc3149"/>
      <w:bookmarkStart w:id="715" w:name="_Toc30671"/>
      <w:bookmarkStart w:id="716" w:name="_Toc104110343"/>
      <w:bookmarkStart w:id="717" w:name="_Toc3781"/>
      <w:bookmarkStart w:id="718" w:name="_Toc2331"/>
      <w:bookmarkStart w:id="719" w:name="_Toc4298"/>
      <w:bookmarkStart w:id="720" w:name="_Toc31752"/>
      <w:bookmarkStart w:id="721" w:name="_Toc27982"/>
      <w:bookmarkStart w:id="722" w:name="_Toc20491"/>
      <w:bookmarkStart w:id="723" w:name="_Toc12835_WPSOffice_Level2"/>
      <w:bookmarkStart w:id="724" w:name="_Toc9831"/>
      <w:bookmarkStart w:id="725" w:name="_Toc21716"/>
      <w:bookmarkStart w:id="726" w:name="_Toc23002"/>
      <w:bookmarkStart w:id="727" w:name="_Toc6114"/>
      <w:bookmarkStart w:id="728" w:name="_Toc5998"/>
      <w:bookmarkStart w:id="729" w:name="_Toc24487"/>
      <w:bookmarkStart w:id="730" w:name="_Toc13751"/>
      <w:bookmarkStart w:id="731" w:name="_Toc24393"/>
      <w:bookmarkStart w:id="732" w:name="_Toc16789"/>
      <w:bookmarkStart w:id="733" w:name="_Toc15266"/>
      <w:bookmarkStart w:id="734" w:name="_Toc13104"/>
      <w:bookmarkStart w:id="735" w:name="_Toc13748"/>
      <w:bookmarkStart w:id="736" w:name="_Toc27944"/>
      <w:bookmarkStart w:id="737" w:name="_Toc18975"/>
      <w:bookmarkStart w:id="738" w:name="_Toc7757"/>
      <w:bookmarkStart w:id="739" w:name="_Toc20656"/>
      <w:bookmarkStart w:id="740" w:name="_Toc4021"/>
      <w:bookmarkStart w:id="741" w:name="_Toc1754"/>
      <w:bookmarkStart w:id="742" w:name="_Toc29155"/>
      <w:bookmarkStart w:id="743" w:name="_Toc21875"/>
      <w:bookmarkStart w:id="744" w:name="_Toc32541"/>
      <w:bookmarkStart w:id="745" w:name="_Toc23283"/>
      <w:bookmarkStart w:id="746" w:name="_Toc12102"/>
      <w:bookmarkStart w:id="747" w:name="_Toc3807"/>
      <w:bookmarkStart w:id="748" w:name="_Toc18452"/>
      <w:bookmarkStart w:id="749" w:name="_Toc10349"/>
      <w:bookmarkStart w:id="750" w:name="_Toc5074"/>
      <w:bookmarkStart w:id="751" w:name="_Toc3976"/>
      <w:bookmarkStart w:id="752" w:name="_Toc21452"/>
      <w:bookmarkStart w:id="753" w:name="_Toc1953"/>
      <w:bookmarkStart w:id="754" w:name="_Toc79334055"/>
      <w:r>
        <w:rPr>
          <w:rFonts w:hint="eastAsia" w:ascii="黑体" w:hAnsi="黑体" w:eastAsia="黑体" w:cs="黑体"/>
          <w:b w:val="0"/>
          <w:bCs/>
          <w:sz w:val="32"/>
          <w:szCs w:val="32"/>
        </w:rPr>
        <w:t>三、做实国家级现代农业产业园</w:t>
      </w:r>
      <w:bookmarkEnd w:id="700"/>
      <w:bookmarkEnd w:id="701"/>
      <w:bookmarkEnd w:id="702"/>
      <w:bookmarkEnd w:id="703"/>
      <w:bookmarkEnd w:id="704"/>
      <w:bookmarkEnd w:id="705"/>
      <w:bookmarkEnd w:id="706"/>
      <w:bookmarkEnd w:id="707"/>
      <w:bookmarkEnd w:id="708"/>
      <w:bookmarkEnd w:id="709"/>
    </w:p>
    <w:p w14:paraId="451D5742">
      <w:pPr>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高起点高标准谋划推进产业园建设。加</w:t>
      </w:r>
      <w:r>
        <w:rPr>
          <w:rFonts w:hint="eastAsia" w:ascii="仿宋_GB2312" w:hAnsi="仿宋_GB2312" w:eastAsia="仿宋_GB2312" w:cs="仿宋_GB2312"/>
          <w:sz w:val="32"/>
          <w:szCs w:val="32"/>
        </w:rPr>
        <w:t>大国家级现代农业产业园的建设力度，全面打造成为以稻、蟹、猪为主的产业示范区，优质农业企业集聚区，科技研发、生产加工、观光休闲先行区以及三产融合发展的特色农业样板区。按照“3523”体系构建的总体安排，力争到2025年，全面完成农业产业园整体产业布局，形成“一园五区十农场”格局；持续优化农业资产，不断提升园区价值，成为全区另一个极具招商吸引力的农业园区；农业种质资源保护、开发、利用体系基本建成；园区在全市乃至京津冀地区的农产品贸易体量、市场占有率、产品竞争力显著提升；品牌化、市场化、标准化、智能化、高质量发展的农业生产体系基本形成；打造一批农文旅样板项目，农文旅发展板块逐步成形。</w:t>
      </w:r>
    </w:p>
    <w:p w14:paraId="4A3E7E7A">
      <w:pPr>
        <w:pStyle w:val="19"/>
        <w:pageBreakBefore w:val="0"/>
        <w:widowControl/>
        <w:shd w:val="clear" w:color="auto" w:fill="FFFFFF"/>
        <w:kinsoku/>
        <w:wordWrap/>
        <w:topLinePunct w:val="0"/>
        <w:autoSpaceDE/>
        <w:autoSpaceDN/>
        <w:bidi w:val="0"/>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b w:val="0"/>
          <w:bCs/>
          <w:kern w:val="2"/>
          <w:sz w:val="32"/>
          <w:szCs w:val="32"/>
          <w:lang w:eastAsia="zh-CN"/>
        </w:rPr>
        <w:t>（一）</w:t>
      </w:r>
      <w:r>
        <w:rPr>
          <w:rFonts w:hint="eastAsia" w:ascii="楷体" w:hAnsi="楷体" w:eastAsia="楷体" w:cs="楷体"/>
          <w:b w:val="0"/>
          <w:bCs/>
          <w:kern w:val="2"/>
          <w:sz w:val="32"/>
          <w:szCs w:val="32"/>
        </w:rPr>
        <w:t>高起点高定位实现产业目标。</w:t>
      </w:r>
      <w:r>
        <w:rPr>
          <w:rFonts w:hint="eastAsia" w:ascii="仿宋_GB2312" w:hAnsi="仿宋_GB2312" w:eastAsia="仿宋_GB2312" w:cs="仿宋_GB2312"/>
          <w:kern w:val="2"/>
          <w:sz w:val="32"/>
          <w:szCs w:val="32"/>
        </w:rPr>
        <w:t>农业产业园围绕三大支柱产业，完成“米上牌、蟹上环、猪上市”的“3上”目标。激活天津老字号“津沽”的品牌价值，向绿色化、特色化方向发展，从产品力方面打造津沽精品，放大品牌影响力；做强七里海河蟹产业，发展河蟹“芯片”，政、企、院、协联合推动种源的“优、育、繁、推”一体化发展，并在智慧农业服务上赋能；做大做强种猪产业，着力发展宁河原种猪场，通过现代化生产、体系化管理、科学化发展，在养殖规模上、补链强链上、科技提质上全面提升，为打造宁河区第一家农业上市企业奠定基础。</w:t>
      </w:r>
    </w:p>
    <w:p w14:paraId="09ACBA85">
      <w:pPr>
        <w:pStyle w:val="2"/>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高标准高质量完成产业布局。</w:t>
      </w:r>
      <w:r>
        <w:rPr>
          <w:rFonts w:hint="eastAsia" w:ascii="仿宋_GB2312" w:hAnsi="仿宋_GB2312" w:eastAsia="仿宋_GB2312" w:cs="仿宋_GB2312"/>
          <w:sz w:val="32"/>
          <w:szCs w:val="32"/>
        </w:rPr>
        <w:t>谋划创建津沽稻乡文化产业园、中国北方生猪种业产业园、中国北方水产种业产业园（七海河蟹文化产业园）、津沽七里海生态果蔬产业园、预制菜产业园等五大核心产业园区，辐射打造集保种育种、示范推广、科普研学等功能的5个样板基地，</w:t>
      </w:r>
      <w:r>
        <w:rPr>
          <w:rFonts w:hint="eastAsia" w:ascii="仿宋_GB2312" w:hAnsi="仿宋_GB2312" w:eastAsia="仿宋_GB2312" w:cs="仿宋_GB2312"/>
          <w:bCs/>
          <w:sz w:val="32"/>
          <w:szCs w:val="32"/>
        </w:rPr>
        <w:t>吸引更多的科研院校、专家及优秀企业共同参与农业振兴发展，构建人才创新高地，培育壮大宁河区现代农业产业。</w:t>
      </w:r>
    </w:p>
    <w:p w14:paraId="3DBCD355">
      <w:pPr>
        <w:pStyle w:val="7"/>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lang w:eastAsia="zh-CN"/>
        </w:rPr>
        <w:t>（三）</w:t>
      </w:r>
      <w:r>
        <w:rPr>
          <w:rFonts w:hint="eastAsia" w:ascii="楷体" w:hAnsi="楷体" w:eastAsia="楷体" w:cs="楷体"/>
          <w:b w:val="0"/>
          <w:bCs/>
          <w:sz w:val="32"/>
          <w:szCs w:val="32"/>
        </w:rPr>
        <w:t>构建智慧平台实现一二三产</w:t>
      </w:r>
      <w:r>
        <w:rPr>
          <w:rFonts w:hint="eastAsia" w:ascii="楷体" w:hAnsi="楷体" w:eastAsia="楷体" w:cs="楷体"/>
          <w:b w:val="0"/>
          <w:bCs/>
          <w:sz w:val="32"/>
          <w:szCs w:val="32"/>
          <w:lang w:val="en-US" w:eastAsia="zh-CN"/>
        </w:rPr>
        <w:t>业</w:t>
      </w:r>
      <w:r>
        <w:rPr>
          <w:rFonts w:hint="eastAsia" w:ascii="楷体" w:hAnsi="楷体" w:eastAsia="楷体" w:cs="楷体"/>
          <w:b w:val="0"/>
          <w:bCs/>
          <w:sz w:val="32"/>
          <w:szCs w:val="32"/>
        </w:rPr>
        <w:t>融合。</w:t>
      </w:r>
      <w:r>
        <w:rPr>
          <w:rFonts w:hint="eastAsia" w:ascii="仿宋_GB2312" w:hAnsi="仿宋_GB2312" w:eastAsia="仿宋_GB2312" w:cs="仿宋_GB2312"/>
          <w:sz w:val="32"/>
          <w:szCs w:val="32"/>
        </w:rPr>
        <w:t>依托国家级现代农业园区产业基础，加快推动农业现代化与新型工业化、信息化同步发展，构建“智慧平台”和“综合性数字交易平台”，到2025年，创建园区内以津沽七里海专营店为代表的自主运营网络商城2个；线下建立集展览展示、交易结算为一体的综合性交易实体平台4个（芦台、津城、滨城、京城）。</w:t>
      </w:r>
    </w:p>
    <w:p w14:paraId="2948A9FD">
      <w:pPr>
        <w:pStyle w:val="19"/>
        <w:pageBreakBefore w:val="0"/>
        <w:widowControl/>
        <w:shd w:val="clear" w:color="auto" w:fill="FFFFFF"/>
        <w:kinsoku/>
        <w:wordWrap/>
        <w:topLinePunct w:val="0"/>
        <w:autoSpaceDE/>
        <w:autoSpaceDN/>
        <w:bidi w:val="0"/>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b w:val="0"/>
          <w:bCs/>
          <w:kern w:val="2"/>
          <w:sz w:val="32"/>
          <w:szCs w:val="32"/>
          <w:lang w:eastAsia="zh-CN"/>
        </w:rPr>
        <w:t>（四）</w:t>
      </w:r>
      <w:r>
        <w:rPr>
          <w:rFonts w:hint="eastAsia" w:ascii="楷体" w:hAnsi="楷体" w:eastAsia="楷体" w:cs="楷体"/>
          <w:b w:val="0"/>
          <w:bCs/>
          <w:kern w:val="2"/>
          <w:sz w:val="32"/>
          <w:szCs w:val="32"/>
        </w:rPr>
        <w:t>多品类高产能提升保供能力。</w:t>
      </w:r>
      <w:r>
        <w:rPr>
          <w:rFonts w:hint="eastAsia" w:ascii="仿宋_GB2312" w:hAnsi="仿宋_GB2312" w:eastAsia="仿宋_GB2312" w:cs="仿宋_GB2312"/>
          <w:kern w:val="2"/>
          <w:sz w:val="32"/>
          <w:szCs w:val="32"/>
        </w:rPr>
        <w:t>建成优势水稻良种生产基地1万亩，加快建设天津区域性良种繁育基地2个；推进七里海河蟹全周期育繁基地建设，创建育繁推一体化示范基地1个，标准化养殖基地1个以及农文旅研学基地1个；推进建设高标准“基质菜”生产基地1个，实现蔬菜年生产规模600万斤。</w:t>
      </w:r>
    </w:p>
    <w:p w14:paraId="085C1ED1">
      <w:pPr>
        <w:pageBreakBefore w:val="0"/>
        <w:kinsoku/>
        <w:wordWrap/>
        <w:topLinePunct w:val="0"/>
        <w:autoSpaceDE/>
        <w:autoSpaceDN/>
        <w:bidi w:val="0"/>
        <w:spacing w:line="560" w:lineRule="exact"/>
        <w:ind w:firstLine="640"/>
        <w:rPr>
          <w:rFonts w:hint="eastAsia" w:ascii="仿宋_GB2312" w:hAnsi="仿宋_GB2312" w:eastAsia="仿宋_GB2312" w:cs="仿宋_GB2312"/>
          <w:sz w:val="32"/>
          <w:szCs w:val="32"/>
        </w:rPr>
      </w:pPr>
      <w:r>
        <w:rPr>
          <w:rFonts w:hint="eastAsia" w:ascii="楷体" w:hAnsi="楷体" w:eastAsia="楷体" w:cs="楷体"/>
          <w:b w:val="0"/>
          <w:bCs/>
          <w:sz w:val="32"/>
          <w:szCs w:val="32"/>
          <w:lang w:eastAsia="zh-CN"/>
        </w:rPr>
        <w:t>（五）</w:t>
      </w:r>
      <w:r>
        <w:rPr>
          <w:rFonts w:hint="eastAsia" w:ascii="楷体" w:hAnsi="楷体" w:eastAsia="楷体" w:cs="楷体"/>
          <w:b w:val="0"/>
          <w:bCs/>
          <w:sz w:val="32"/>
          <w:szCs w:val="32"/>
        </w:rPr>
        <w:t>精心谋划创新联农促农模式。</w:t>
      </w:r>
      <w:r>
        <w:rPr>
          <w:rFonts w:hint="eastAsia" w:ascii="仿宋_GB2312" w:hAnsi="仿宋_GB2312" w:eastAsia="仿宋_GB2312" w:cs="仿宋_GB2312"/>
          <w:sz w:val="32"/>
          <w:szCs w:val="32"/>
        </w:rPr>
        <w:t>基本建成农文旅融合特色农场10个，并逐步实现运营，以满足天津市居民观光、体验、休闲、度假等需求，同时带动周边采摘园、餐饮、民宿等产业发展，发挥国家级现代农业产业园联工促农、联城带乡的桥梁纽带作用，培育壮大一批新型经营主体，探索城乡融合发展之路，将产业园建成为农民创新创业摇篮，增强带动农民增收致富能力。</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Start w:id="755" w:name="_Toc122078295"/>
      <w:bookmarkStart w:id="756" w:name="_Toc13532"/>
      <w:bookmarkStart w:id="757" w:name="_Toc6594"/>
    </w:p>
    <w:p w14:paraId="3D60BD11">
      <w:pPr>
        <w:pageBreakBefore w:val="0"/>
        <w:kinsoku/>
        <w:wordWrap/>
        <w:topLinePunct w:val="0"/>
        <w:autoSpaceDE/>
        <w:autoSpaceDN/>
        <w:bidi w:val="0"/>
        <w:spacing w:line="560" w:lineRule="exact"/>
        <w:ind w:firstLine="640"/>
        <w:rPr>
          <w:rFonts w:hint="eastAsia" w:ascii="黑体" w:hAnsi="黑体" w:eastAsia="黑体" w:cs="黑体"/>
          <w:b w:val="0"/>
          <w:bCs/>
          <w:sz w:val="32"/>
          <w:szCs w:val="32"/>
        </w:rPr>
      </w:pPr>
      <w:bookmarkStart w:id="758" w:name="_Toc18711340_WPSOffice_Level2"/>
      <w:r>
        <w:rPr>
          <w:rFonts w:hint="eastAsia" w:ascii="黑体" w:hAnsi="黑体" w:eastAsia="黑体" w:cs="黑体"/>
          <w:b w:val="0"/>
          <w:bCs/>
          <w:sz w:val="32"/>
          <w:szCs w:val="32"/>
        </w:rPr>
        <w:t>四、打通终端销售渠道</w:t>
      </w:r>
      <w:bookmarkEnd w:id="755"/>
      <w:bookmarkEnd w:id="758"/>
    </w:p>
    <w:p w14:paraId="35352044">
      <w:pPr>
        <w:pStyle w:val="7"/>
        <w:pageBreakBefore w:val="0"/>
        <w:kinsoku/>
        <w:wordWrap/>
        <w:topLinePunct w:val="0"/>
        <w:autoSpaceDE/>
        <w:autoSpaceDN/>
        <w:bidi w:val="0"/>
        <w:adjustRightInd w:val="0"/>
        <w:snapToGrid w:val="0"/>
        <w:spacing w:line="560" w:lineRule="exact"/>
        <w:rPr>
          <w:rFonts w:hint="eastAsia" w:ascii="仿宋_GB2312" w:hAnsi="仿宋_GB2312" w:eastAsia="仿宋_GB2312" w:cs="仿宋_GB2312"/>
          <w:sz w:val="32"/>
          <w:szCs w:val="32"/>
        </w:rPr>
      </w:pPr>
      <w:r>
        <w:rPr>
          <w:rFonts w:hint="eastAsia" w:ascii="楷体" w:hAnsi="楷体" w:eastAsia="楷体" w:cs="楷体"/>
          <w:b w:val="0"/>
          <w:bCs/>
          <w:sz w:val="32"/>
          <w:szCs w:val="32"/>
        </w:rPr>
        <w:t>（一）全面推行农产品标准化生产与销售。</w:t>
      </w:r>
      <w:r>
        <w:rPr>
          <w:rFonts w:hint="eastAsia" w:ascii="仿宋_GB2312" w:hAnsi="仿宋_GB2312" w:eastAsia="仿宋_GB2312" w:cs="仿宋_GB2312"/>
          <w:sz w:val="32"/>
          <w:szCs w:val="32"/>
        </w:rPr>
        <w:t>实施农业生产环境、生产过程及生产产品的标准化，保障产品安全。落实生产主体责任，规范生产经营行为，推行农业良好生产规范，把农业产前、产中、产后各环节纳入标准化管理，引导农户按技术规范和操作规程生产。支持各类新型经营主体建设安全优质的农产品生产基地。</w:t>
      </w:r>
    </w:p>
    <w:p w14:paraId="4AE47027">
      <w:pPr>
        <w:pStyle w:val="7"/>
        <w:pageBreakBefore w:val="0"/>
        <w:kinsoku/>
        <w:wordWrap/>
        <w:topLinePunct w:val="0"/>
        <w:autoSpaceDE/>
        <w:autoSpaceDN/>
        <w:bidi w:val="0"/>
        <w:adjustRightInd w:val="0"/>
        <w:snapToGrid w:val="0"/>
        <w:spacing w:line="560" w:lineRule="exact"/>
        <w:ind w:firstLine="643"/>
        <w:rPr>
          <w:rFonts w:hint="eastAsia" w:ascii="楷体" w:hAnsi="楷体" w:eastAsia="楷体" w:cs="楷体"/>
          <w:b w:val="0"/>
          <w:bCs/>
          <w:sz w:val="32"/>
          <w:szCs w:val="32"/>
        </w:rPr>
      </w:pPr>
      <w:r>
        <w:rPr>
          <w:rFonts w:hint="eastAsia" w:ascii="楷体" w:hAnsi="楷体" w:eastAsia="楷体" w:cs="楷体"/>
          <w:b w:val="0"/>
          <w:bCs/>
          <w:sz w:val="32"/>
          <w:szCs w:val="32"/>
        </w:rPr>
        <w:t>（二）加强农产品质量监管。</w:t>
      </w:r>
    </w:p>
    <w:p w14:paraId="14CBDEAF">
      <w:pPr>
        <w:pStyle w:val="7"/>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bCs/>
          <w:sz w:val="32"/>
          <w:szCs w:val="32"/>
        </w:rPr>
        <w:t>严控常规药物残留超标。</w:t>
      </w:r>
      <w:r>
        <w:rPr>
          <w:rFonts w:hint="eastAsia" w:ascii="仿宋_GB2312" w:hAnsi="仿宋_GB2312" w:eastAsia="仿宋_GB2312" w:cs="仿宋_GB2312"/>
          <w:sz w:val="32"/>
          <w:szCs w:val="32"/>
        </w:rPr>
        <w:t>强化“产”“管”两方面力量联动，加强科学用药宣传指导，严格执行农业投入品生产和使用，指导辖区兽药生产企业落实《兽药生产质量管理规范（GMP）》，实施化肥农药减量增效行动、水产养殖用药减量行动、兽用抗菌药治理行动，有效遏制农药兽药残留超标问题。建立农业投入品监管名录制度和质量常态化监测制度，严格落实定点经营和实名购买制度，推广绿色防控技术，指导农户严格落实农药安全间隔期、兽药休药期等规定。推进绿色优质农产品基地建设工程，强化区镇两级农产品检测监测体系建设。</w:t>
      </w:r>
    </w:p>
    <w:p w14:paraId="74AA6CBA">
      <w:pPr>
        <w:pStyle w:val="7"/>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2.强化农产品质量安全检测。</w:t>
      </w:r>
      <w:r>
        <w:rPr>
          <w:rFonts w:hint="eastAsia" w:ascii="仿宋_GB2312" w:hAnsi="仿宋_GB2312" w:eastAsia="仿宋_GB2312" w:cs="仿宋_GB2312"/>
          <w:sz w:val="32"/>
          <w:szCs w:val="32"/>
        </w:rPr>
        <w:t>强化生产基地和“三前”环节抽检，全区主要农产品质量安全检测总体合格率稳定保持在97%以上，地产农产品抽检合格率保持在98%以上，不发生重大区域性农产品质量安全事件。发挥农产品质量安全认证在贯彻实施农业标准化中的作用，鼓励经营主体开展农产品认证、质量管理体系认证，促进农业标准化的全面实施。</w:t>
      </w:r>
    </w:p>
    <w:p w14:paraId="3890D0AE">
      <w:pPr>
        <w:pStyle w:val="7"/>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3.打击农产品质量安全违法违规行为。</w:t>
      </w:r>
      <w:r>
        <w:rPr>
          <w:rFonts w:hint="eastAsia" w:ascii="仿宋_GB2312" w:hAnsi="仿宋_GB2312" w:eastAsia="仿宋_GB2312" w:cs="仿宋_GB2312"/>
          <w:sz w:val="32"/>
          <w:szCs w:val="32"/>
        </w:rPr>
        <w:t>加强农业投入品和农产品质量安全违法事件有效处置，涉嫌犯罪案件移送率达100%。严格实行“双随机、一公开”，及时公布监督抽查发现的问题产品信息，强化检打联动，做到有案必查。健全农产品质量安全投诉举报受理核查机制，鼓励社会监督。</w:t>
      </w:r>
    </w:p>
    <w:p w14:paraId="21B3612B">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（三）完善绿色农产品第三方物流体系</w:t>
      </w:r>
      <w:bookmarkEnd w:id="756"/>
      <w:bookmarkEnd w:id="757"/>
      <w:r>
        <w:rPr>
          <w:rFonts w:hint="eastAsia" w:ascii="楷体" w:hAnsi="楷体" w:eastAsia="楷体" w:cs="楷体"/>
          <w:b w:val="0"/>
          <w:bCs/>
          <w:sz w:val="32"/>
          <w:szCs w:val="32"/>
        </w:rPr>
        <w:t>。</w:t>
      </w:r>
      <w:r>
        <w:rPr>
          <w:rFonts w:hint="eastAsia" w:ascii="仿宋_GB2312" w:hAnsi="仿宋_GB2312" w:eastAsia="仿宋_GB2312" w:cs="仿宋_GB2312"/>
          <w:sz w:val="32"/>
          <w:szCs w:val="32"/>
        </w:rPr>
        <w:t>围绕特色农产品流通需求，建立绿色农产品第三方物流体系，加快推进普洛斯物流园、安博物流园建设，规划建设东北部区域农产品物流集散中心。发展冷链物流，依托华康物流园、潘庄冷链物流园等，打通农户前端与消费终端，发展农产品预冷、低温环境分级、卫生管理和包装等专业配套服务。</w:t>
      </w:r>
    </w:p>
    <w:p w14:paraId="75160D51">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（四）打造区域预制菜商贸中心。</w:t>
      </w:r>
      <w:r>
        <w:rPr>
          <w:rFonts w:hint="eastAsia" w:ascii="仿宋_GB2312" w:hAnsi="仿宋_GB2312" w:eastAsia="仿宋_GB2312" w:cs="仿宋_GB2312"/>
          <w:sz w:val="32"/>
          <w:szCs w:val="32"/>
        </w:rPr>
        <w:t>围绕打造“宁河优质预制菜”发展目标，加强预制菜产业园建设，以生态种养，订单农业，基地直供为基础，以指挥系统和冷链物流系统为保障，构建产业链完整、技术先进、质优类全、配套完善、物流高效的预制菜体系，打造区域预制菜商贸中心。到2025年末，年预制菜产值达到20亿元。</w:t>
      </w:r>
    </w:p>
    <w:p w14:paraId="4D587545">
      <w:pPr>
        <w:pStyle w:val="29"/>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（五）推动农村电商发展。</w:t>
      </w:r>
      <w:r>
        <w:rPr>
          <w:rFonts w:hint="eastAsia" w:ascii="仿宋_GB2312" w:hAnsi="仿宋_GB2312" w:eastAsia="仿宋_GB2312" w:cs="仿宋_GB2312"/>
          <w:sz w:val="32"/>
          <w:szCs w:val="32"/>
        </w:rPr>
        <w:t>建立农产品电商示范基地。引进知名电商，加强农村合作社培训，鼓励农村消费网点与电商平台对接，促进线上线下融合发展，完善农村电商服务站服务功能，推动本地特色农产品上行“触网”，推广水稻、七里海香蟹等宁河特色品牌产品，以直播方式展示基地和产品，逐步扩大产品销售规模，打开销售渠道。</w:t>
      </w:r>
    </w:p>
    <w:p w14:paraId="77C88297">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759" w:name="_Toc122078296"/>
      <w:bookmarkStart w:id="760" w:name="_Toc172532283_WPSOffice_Level2"/>
      <w:bookmarkStart w:id="761" w:name="_Toc11839"/>
      <w:bookmarkStart w:id="762" w:name="_Toc31170"/>
      <w:bookmarkStart w:id="763" w:name="_Toc13129"/>
      <w:bookmarkStart w:id="764" w:name="_Toc88821337"/>
      <w:r>
        <w:rPr>
          <w:rFonts w:hint="eastAsia" w:ascii="黑体" w:hAnsi="黑体" w:eastAsia="黑体" w:cs="黑体"/>
          <w:b w:val="0"/>
          <w:bCs/>
          <w:sz w:val="32"/>
          <w:szCs w:val="32"/>
        </w:rPr>
        <w:t>五、推进农文旅融合发展</w:t>
      </w:r>
      <w:bookmarkEnd w:id="759"/>
      <w:bookmarkEnd w:id="760"/>
    </w:p>
    <w:p w14:paraId="708BC96D">
      <w:pPr>
        <w:pStyle w:val="43"/>
        <w:pageBreakBefore w:val="0"/>
        <w:kinsoku/>
        <w:wordWrap/>
        <w:topLinePunct w:val="0"/>
        <w:autoSpaceDE/>
        <w:autoSpaceDN/>
        <w:bidi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挖宁河历史文化资源，以生态保护为底线，利用“旅游+”“互联网+”“生态+”等模式，将湿地、河流、林地等资源同丰富多彩的农耕文化、民俗文化、历史文化相结合，盘活沿河旅游资源，整合现有闲置民房和宅基地，打造精品休闲民宿，科学规划与适度开发以弘扬传统文化为内涵的乡村休闲旅游活动，形成独具特色的宁河农文旅产业，丰富乡村旅游业态和产品，打造“大美宁河”特色旅游区。</w:t>
      </w:r>
    </w:p>
    <w:p w14:paraId="131481F6">
      <w:pPr>
        <w:pStyle w:val="43"/>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（一）发展休闲农业和乡村旅游。</w:t>
      </w:r>
      <w:r>
        <w:rPr>
          <w:rFonts w:hint="eastAsia" w:ascii="仿宋_GB2312" w:hAnsi="仿宋_GB2312" w:eastAsia="仿宋_GB2312" w:cs="仿宋_GB2312"/>
          <w:sz w:val="32"/>
          <w:szCs w:val="32"/>
        </w:rPr>
        <w:t>建设一批特色菜园、农业园区、生态庄园，将农业标准化生产与科技示范、农耕体验、果蔬采摘、乡村竞技、农家餐饮、民居民俗等元素紧密结合，以绿色、生态、健康、休闲为主题开发特色活动，带动各镇休闲农业和乡村旅游的发展。</w:t>
      </w:r>
    </w:p>
    <w:p w14:paraId="69E56024">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（二）打造“六个一”主题农文旅发展组团。</w:t>
      </w:r>
      <w:r>
        <w:rPr>
          <w:rFonts w:hint="eastAsia" w:ascii="仿宋_GB2312" w:hAnsi="仿宋_GB2312" w:eastAsia="仿宋_GB2312" w:cs="仿宋_GB2312"/>
          <w:sz w:val="32"/>
          <w:szCs w:val="32"/>
          <w:lang w:val="en"/>
        </w:rPr>
        <w:t>力争齐心庄园亲子蘑法小镇、廉庄稻香文化小镇等市级特色小镇建设取得成绩，</w:t>
      </w:r>
      <w:r>
        <w:rPr>
          <w:rFonts w:hint="eastAsia" w:ascii="仿宋_GB2312" w:hAnsi="仿宋_GB2312" w:eastAsia="仿宋_GB2312" w:cs="仿宋_GB2312"/>
          <w:sz w:val="32"/>
          <w:szCs w:val="32"/>
        </w:rPr>
        <w:t>重点实施“一海（七里海）、一河（蓟运河）、一林（永定新河生态绿屏）、一故居（于方舟故居），一阁（天尊阁）、一岛（桥北麒麟岛）、一镇（潘庄古镇）、一甑乡（板桥镇）” 六大主题项目发展，</w:t>
      </w:r>
      <w:r>
        <w:rPr>
          <w:rFonts w:hint="eastAsia" w:ascii="仿宋_GB2312" w:hAnsi="仿宋_GB2312" w:eastAsia="仿宋_GB2312" w:cs="仿宋_GB2312"/>
          <w:sz w:val="32"/>
          <w:szCs w:val="32"/>
          <w:lang w:val="en"/>
        </w:rPr>
        <w:t>打造创新生态圈，</w:t>
      </w:r>
      <w:r>
        <w:rPr>
          <w:rFonts w:hint="eastAsia" w:ascii="仿宋_GB2312" w:hAnsi="仿宋_GB2312" w:eastAsia="仿宋_GB2312" w:cs="仿宋_GB2312"/>
          <w:sz w:val="32"/>
          <w:szCs w:val="32"/>
        </w:rPr>
        <w:t>带动宁河农文旅融合产业发展。</w:t>
      </w:r>
    </w:p>
    <w:p w14:paraId="617E0642">
      <w:pPr>
        <w:pStyle w:val="43"/>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（三）实施万户精品民宿示范工程。</w:t>
      </w:r>
      <w:r>
        <w:rPr>
          <w:rFonts w:hint="eastAsia" w:ascii="仿宋_GB2312" w:hAnsi="仿宋_GB2312" w:eastAsia="仿宋_GB2312" w:cs="仿宋_GB2312"/>
          <w:sz w:val="32"/>
          <w:szCs w:val="32"/>
        </w:rPr>
        <w:t>加强全区统筹，积极开发特色民宿、精品客栈、绿色饭店等中高端住宿产品，丰富住宿产品业态，增强区域旅游住宿承载力。围绕七里海湿地文化、板桥盆罐制陶文化、丰台天尊阁文化、俵口于方舟红色文化、板桥国防教育基地等，培育打造一批“有特色、有情怀、有韵味”民宿精品，建成一批精品民宿集聚区，让游客“留得住、不想走、还想来”。</w:t>
      </w:r>
      <w:bookmarkEnd w:id="761"/>
      <w:bookmarkEnd w:id="762"/>
    </w:p>
    <w:p w14:paraId="0D291AC0">
      <w:pPr>
        <w:pStyle w:val="3"/>
        <w:pageBreakBefore w:val="0"/>
        <w:kinsoku/>
        <w:wordWrap/>
        <w:topLinePunct w:val="0"/>
        <w:autoSpaceDE/>
        <w:autoSpaceDN/>
        <w:bidi w:val="0"/>
        <w:spacing w:line="560" w:lineRule="exact"/>
        <w:rPr>
          <w:rFonts w:hint="eastAsia" w:ascii="黑体" w:hAnsi="黑体" w:eastAsia="黑体" w:cs="黑体"/>
          <w:sz w:val="32"/>
          <w:szCs w:val="32"/>
        </w:rPr>
      </w:pPr>
      <w:bookmarkStart w:id="765" w:name="_Toc7935"/>
      <w:bookmarkStart w:id="766" w:name="_Toc25707"/>
      <w:bookmarkStart w:id="767" w:name="_Toc32322_WPSOffice_Level1"/>
      <w:bookmarkStart w:id="768" w:name="_Toc4263"/>
      <w:bookmarkStart w:id="769" w:name="_Toc23577"/>
      <w:bookmarkStart w:id="770" w:name="_Toc14308"/>
      <w:bookmarkStart w:id="771" w:name="_Toc1324725924_WPSOffice_Level1"/>
      <w:bookmarkStart w:id="772" w:name="_Toc18610"/>
      <w:bookmarkStart w:id="773" w:name="_Toc13599"/>
      <w:bookmarkStart w:id="774" w:name="_Toc19823"/>
      <w:bookmarkStart w:id="775" w:name="_Toc10348"/>
      <w:bookmarkStart w:id="776" w:name="_Toc20366"/>
      <w:bookmarkStart w:id="777" w:name="_Toc122078297"/>
      <w:bookmarkStart w:id="778" w:name="_Toc568"/>
      <w:bookmarkStart w:id="779" w:name="_Toc7384"/>
      <w:bookmarkStart w:id="780" w:name="_Toc28395"/>
      <w:bookmarkStart w:id="781" w:name="_Toc24176"/>
      <w:bookmarkStart w:id="782" w:name="_Toc16447"/>
      <w:bookmarkStart w:id="783" w:name="_Toc10217"/>
      <w:bookmarkStart w:id="784" w:name="_Toc1780"/>
      <w:bookmarkStart w:id="785" w:name="_Toc104110346"/>
      <w:bookmarkStart w:id="786" w:name="_Toc6268"/>
      <w:bookmarkStart w:id="787" w:name="_Toc31659"/>
      <w:bookmarkStart w:id="788" w:name="_Toc20046"/>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 实施</w:t>
      </w:r>
      <w:r>
        <w:rPr>
          <w:rFonts w:hint="eastAsia" w:ascii="黑体" w:hAnsi="黑体" w:eastAsia="黑体" w:cs="黑体"/>
          <w:sz w:val="32"/>
          <w:szCs w:val="32"/>
          <w:lang w:eastAsia="zh-CN"/>
        </w:rPr>
        <w:t>美丽乡村</w:t>
      </w:r>
      <w:r>
        <w:rPr>
          <w:rFonts w:hint="eastAsia" w:ascii="黑体" w:hAnsi="黑体" w:eastAsia="黑体" w:cs="黑体"/>
          <w:sz w:val="32"/>
          <w:szCs w:val="32"/>
        </w:rPr>
        <w:t>建设，统筹城乡</w:t>
      </w:r>
      <w:r>
        <w:rPr>
          <w:rFonts w:hint="eastAsia" w:ascii="黑体" w:hAnsi="黑体" w:eastAsia="黑体" w:cs="黑体"/>
          <w:sz w:val="32"/>
          <w:szCs w:val="32"/>
          <w:lang w:eastAsia="zh-CN"/>
        </w:rPr>
        <w:t>协调</w:t>
      </w:r>
      <w:r>
        <w:rPr>
          <w:rFonts w:hint="eastAsia" w:ascii="黑体" w:hAnsi="黑体" w:eastAsia="黑体" w:cs="黑体"/>
          <w:sz w:val="32"/>
          <w:szCs w:val="32"/>
        </w:rPr>
        <w:t>发展</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37887DED">
      <w:pPr>
        <w:pageBreakBefore w:val="0"/>
        <w:kinsoku/>
        <w:wordWrap/>
        <w:topLinePunct w:val="0"/>
        <w:autoSpaceDE/>
        <w:autoSpaceDN/>
        <w:bidi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健全城乡融合发展体制机制和政策体系，改善农村人居环境，补齐农村基础设施和公共服务短板，推进城乡深度融合协调发展，促进乡村宜居宜业。</w:t>
      </w:r>
    </w:p>
    <w:p w14:paraId="58FF6027">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789" w:name="_Toc88821339"/>
      <w:bookmarkStart w:id="790" w:name="_Toc11427"/>
      <w:bookmarkStart w:id="791" w:name="_Toc27265"/>
      <w:bookmarkStart w:id="792" w:name="_Toc3341"/>
      <w:bookmarkStart w:id="793" w:name="_Toc24956"/>
      <w:bookmarkStart w:id="794" w:name="_Toc19650"/>
      <w:bookmarkStart w:id="795" w:name="_Toc14044"/>
      <w:bookmarkStart w:id="796" w:name="_Toc6160"/>
      <w:bookmarkStart w:id="797" w:name="_Toc20028"/>
      <w:bookmarkStart w:id="798" w:name="_Toc25389"/>
      <w:bookmarkStart w:id="799" w:name="_Toc8087"/>
      <w:bookmarkStart w:id="800" w:name="_Toc9356"/>
      <w:bookmarkStart w:id="801" w:name="_Toc4364"/>
      <w:bookmarkStart w:id="802" w:name="_Toc14594"/>
      <w:bookmarkStart w:id="803" w:name="_Toc11613"/>
      <w:bookmarkStart w:id="804" w:name="_Toc18762"/>
      <w:bookmarkStart w:id="805" w:name="_Toc21406"/>
      <w:bookmarkStart w:id="806" w:name="_Toc104110348"/>
      <w:bookmarkStart w:id="807" w:name="_Toc30231"/>
      <w:bookmarkStart w:id="808" w:name="_Toc12713"/>
      <w:bookmarkStart w:id="809" w:name="_Toc12700"/>
      <w:bookmarkStart w:id="810" w:name="_Toc8591_WPSOffice_Level2"/>
      <w:bookmarkStart w:id="811" w:name="_Toc14450"/>
      <w:bookmarkStart w:id="812" w:name="_Toc6221"/>
      <w:bookmarkStart w:id="813" w:name="_Toc122078298"/>
      <w:bookmarkStart w:id="814" w:name="_Toc1026105436_WPSOffice_Level2"/>
      <w:r>
        <w:rPr>
          <w:rFonts w:hint="eastAsia" w:ascii="黑体" w:hAnsi="黑体" w:eastAsia="黑体" w:cs="黑体"/>
          <w:b w:val="0"/>
          <w:bCs/>
          <w:sz w:val="32"/>
          <w:szCs w:val="32"/>
        </w:rPr>
        <w:t>一、推进美丽乡村</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rFonts w:hint="eastAsia" w:ascii="黑体" w:hAnsi="黑体" w:eastAsia="黑体" w:cs="黑体"/>
          <w:b w:val="0"/>
          <w:bCs/>
          <w:sz w:val="32"/>
          <w:szCs w:val="32"/>
        </w:rPr>
        <w:t>建设</w:t>
      </w:r>
      <w:bookmarkEnd w:id="813"/>
      <w:bookmarkEnd w:id="814"/>
    </w:p>
    <w:p w14:paraId="0BA0A21D">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（一）加快建设美丽乡村。</w:t>
      </w:r>
      <w:r>
        <w:rPr>
          <w:rFonts w:hint="eastAsia" w:ascii="仿宋_GB2312" w:hAnsi="仿宋_GB2312" w:eastAsia="仿宋_GB2312" w:cs="仿宋_GB2312"/>
          <w:sz w:val="32"/>
          <w:szCs w:val="32"/>
        </w:rPr>
        <w:t>推进“百村示范、千村整治”工程，以加快村庄发展为目标，对全区13个镇2个街的248个规划保留村分类规划、精准施策、梯次推进，持续改善村庄环境，坚持“留白、留绿、留璞”，对照“六化六有”标准，补齐短板。坚持留住村庄原貌、留得住乡愁的原则，实现乡村面貌大幅改善、乡村品质大幅提升、乡村内涵更加丰富、乡村韵味更加突出。</w:t>
      </w:r>
    </w:p>
    <w:p w14:paraId="5239082E">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lang w:val="en"/>
        </w:rPr>
        <w:t>（二）实施农村人居环境五年提升行动。</w:t>
      </w:r>
      <w:r>
        <w:rPr>
          <w:rFonts w:hint="eastAsia" w:ascii="仿宋_GB2312" w:hAnsi="仿宋_GB2312" w:eastAsia="仿宋_GB2312" w:cs="仿宋_GB2312"/>
          <w:sz w:val="32"/>
          <w:szCs w:val="32"/>
        </w:rPr>
        <w:t>深化农村“厕所革命”，落实公厕管护主体责任，强化日常卫生保洁；加强厕所粪污无害化处理与资源化利用；完善生活污水处理站运行维护和排水水质监督管理等工作；健全完善农村生活垃圾“村收集、镇运输、区处理”模式，加强终端无害化处置设施监管，确保稳定达标运行，实现全域无垃圾堆存。夯实四级网格整治管理体系，推动村庄清洁行动制度化、常态化、长效化。</w:t>
      </w:r>
    </w:p>
    <w:p w14:paraId="2380A92D">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lang w:val="en"/>
        </w:rPr>
        <w:t>（三）实施乡村振兴示范村创建行动。</w:t>
      </w:r>
      <w:r>
        <w:rPr>
          <w:rFonts w:hint="eastAsia" w:ascii="仿宋_GB2312" w:hAnsi="仿宋_GB2312" w:eastAsia="仿宋_GB2312" w:cs="仿宋_GB2312"/>
          <w:sz w:val="32"/>
          <w:szCs w:val="32"/>
          <w:lang w:val="en"/>
        </w:rPr>
        <w:t>推动乡村振兴示范村全面发展、融合发展、创新发展，打造经济高质量发展的先行村、农村综合改革的试点村、环境生态宜居的样板村、乡村文明善治的幸福村，引领带动全区农村共同发展，在规划保留村中，选择有良好基础、有自身特色、有发展潜力、有创建意愿的村庄作为创建对象，围绕乡村振兴总要求，按照“三美四乡”建设标准与评价指标，重点对10个乡村振兴示范村进行改造提升，广泛开展“四旁”植树绿化，进一步推动“四有”村庄打造，实现以绿净村、以景美村、以水连村的目标。</w:t>
      </w:r>
    </w:p>
    <w:p w14:paraId="11D35DA4">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815" w:name="_Toc2793"/>
      <w:bookmarkStart w:id="816" w:name="_Toc28305"/>
      <w:bookmarkStart w:id="817" w:name="_Toc28246"/>
      <w:bookmarkStart w:id="818" w:name="_Toc735488218_WPSOffice_Level2"/>
      <w:bookmarkStart w:id="819" w:name="_Toc31287"/>
      <w:bookmarkStart w:id="820" w:name="_Toc26748"/>
      <w:bookmarkStart w:id="821" w:name="_Toc3333"/>
      <w:bookmarkStart w:id="822" w:name="_Toc25720"/>
      <w:bookmarkStart w:id="823" w:name="_Toc17699"/>
      <w:bookmarkStart w:id="824" w:name="_Toc5125"/>
      <w:bookmarkStart w:id="825" w:name="_Toc104110349"/>
      <w:bookmarkStart w:id="826" w:name="_Toc122078299"/>
      <w:bookmarkStart w:id="827" w:name="_Toc21429_WPSOffice_Level2"/>
      <w:bookmarkStart w:id="828" w:name="_Toc17507"/>
      <w:bookmarkStart w:id="829" w:name="_Toc32574"/>
      <w:bookmarkStart w:id="830" w:name="_Toc10275"/>
      <w:bookmarkStart w:id="831" w:name="_Toc11530"/>
      <w:bookmarkStart w:id="832" w:name="_Toc15136"/>
      <w:bookmarkStart w:id="833" w:name="_Toc17266"/>
      <w:bookmarkStart w:id="834" w:name="_Toc29949"/>
      <w:bookmarkStart w:id="835" w:name="_Toc3311"/>
      <w:bookmarkStart w:id="836" w:name="_Toc11835"/>
      <w:bookmarkStart w:id="837" w:name="_Toc28732"/>
      <w:bookmarkStart w:id="838" w:name="_Toc19693"/>
      <w:bookmarkStart w:id="839" w:name="_Toc88821340"/>
      <w:bookmarkStart w:id="840" w:name="_Toc27040"/>
      <w:r>
        <w:rPr>
          <w:rFonts w:hint="eastAsia" w:ascii="黑体" w:hAnsi="黑体" w:eastAsia="黑体" w:cs="黑体"/>
          <w:b w:val="0"/>
          <w:bCs/>
          <w:sz w:val="32"/>
          <w:szCs w:val="32"/>
        </w:rPr>
        <w:t>二、提升乡村基本公共服务水平</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4D144FFB">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841" w:name="_Toc88821343"/>
      <w:bookmarkStart w:id="842" w:name="_Toc15927"/>
      <w:r>
        <w:rPr>
          <w:rFonts w:hint="eastAsia" w:ascii="楷体" w:hAnsi="楷体" w:eastAsia="楷体" w:cs="楷体"/>
          <w:b w:val="0"/>
          <w:bCs/>
          <w:sz w:val="32"/>
          <w:szCs w:val="32"/>
        </w:rPr>
        <w:t>（一）推动提升乡村教育教学水平</w:t>
      </w:r>
      <w:bookmarkEnd w:id="841"/>
      <w:bookmarkEnd w:id="842"/>
      <w:r>
        <w:rPr>
          <w:rFonts w:hint="eastAsia" w:ascii="楷体" w:hAnsi="楷体" w:eastAsia="楷体" w:cs="楷体"/>
          <w:b w:val="0"/>
          <w:bCs/>
          <w:sz w:val="32"/>
          <w:szCs w:val="32"/>
        </w:rPr>
        <w:t>。</w:t>
      </w:r>
      <w:r>
        <w:rPr>
          <w:rFonts w:hint="eastAsia" w:ascii="仿宋_GB2312" w:hAnsi="仿宋_GB2312" w:eastAsia="仿宋_GB2312" w:cs="仿宋_GB2312"/>
          <w:sz w:val="32"/>
          <w:szCs w:val="32"/>
          <w:lang w:val="en"/>
        </w:rPr>
        <w:t>推动建立“以城带乡、整体推进、城乡一体、均衡发展”的农村教育发展机制和以政府投入为主的农村学前教育成本分担机制。加强新时代乡村教师队伍建设，鼓励引导城镇骨干教师到农村任教。</w:t>
      </w:r>
    </w:p>
    <w:p w14:paraId="1A26AEF0">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lang w:val="en"/>
        </w:rPr>
      </w:pPr>
      <w:bookmarkStart w:id="843" w:name="_Toc88821344"/>
      <w:bookmarkStart w:id="844" w:name="_Toc25441"/>
      <w:r>
        <w:rPr>
          <w:rFonts w:hint="eastAsia" w:ascii="楷体" w:hAnsi="楷体" w:eastAsia="楷体" w:cs="楷体"/>
          <w:b w:val="0"/>
          <w:bCs/>
          <w:sz w:val="32"/>
          <w:szCs w:val="32"/>
        </w:rPr>
        <w:t>（二）完善乡村医疗卫生服务与救助体系</w:t>
      </w:r>
      <w:bookmarkEnd w:id="843"/>
      <w:bookmarkEnd w:id="844"/>
      <w:r>
        <w:rPr>
          <w:rFonts w:hint="eastAsia" w:ascii="楷体" w:hAnsi="楷体" w:eastAsia="楷体" w:cs="楷体"/>
          <w:b w:val="0"/>
          <w:bCs/>
          <w:sz w:val="32"/>
          <w:szCs w:val="32"/>
        </w:rPr>
        <w:t>。</w:t>
      </w:r>
      <w:r>
        <w:rPr>
          <w:rFonts w:hint="eastAsia" w:ascii="仿宋_GB2312" w:hAnsi="仿宋_GB2312" w:eastAsia="仿宋_GB2312" w:cs="仿宋_GB2312"/>
          <w:sz w:val="32"/>
          <w:szCs w:val="32"/>
          <w:lang w:val="en"/>
        </w:rPr>
        <w:t>促进优质医疗资源纵向流动、下沉农村，深入推进镇村卫生服务一体化管理，不断提高乡村医疗卫生机构基本医疗卫生服务能力。将符合条件的村卫生室纳入医保协议管理试点，逐步实现全部村卫生室医保联网结算，不断提高农村医保参保率。建立健全乡村基本公共服务普惠共享体制机制，完善乡村社会保险制度和救助体系。</w:t>
      </w:r>
    </w:p>
    <w:p w14:paraId="2ADF9945">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lang w:val="en"/>
        </w:rPr>
      </w:pPr>
      <w:bookmarkStart w:id="845" w:name="_Toc18714"/>
      <w:bookmarkStart w:id="846" w:name="_Toc88821346"/>
      <w:r>
        <w:rPr>
          <w:rFonts w:hint="eastAsia" w:ascii="楷体" w:hAnsi="楷体" w:eastAsia="楷体" w:cs="楷体"/>
          <w:b w:val="0"/>
          <w:bCs/>
          <w:sz w:val="32"/>
          <w:szCs w:val="32"/>
        </w:rPr>
        <w:t>（三）推进卫生镇（村）建设</w:t>
      </w:r>
      <w:bookmarkEnd w:id="845"/>
      <w:bookmarkEnd w:id="846"/>
      <w:r>
        <w:rPr>
          <w:rFonts w:hint="eastAsia" w:ascii="楷体" w:hAnsi="楷体" w:eastAsia="楷体" w:cs="楷体"/>
          <w:b w:val="0"/>
          <w:bCs/>
          <w:sz w:val="32"/>
          <w:szCs w:val="32"/>
        </w:rPr>
        <w:t>。</w:t>
      </w:r>
      <w:r>
        <w:rPr>
          <w:rFonts w:hint="eastAsia" w:ascii="仿宋_GB2312" w:hAnsi="仿宋_GB2312" w:eastAsia="仿宋_GB2312" w:cs="仿宋_GB2312"/>
          <w:sz w:val="32"/>
          <w:szCs w:val="32"/>
          <w:lang w:val="en"/>
        </w:rPr>
        <w:t xml:space="preserve">推进卫生镇（村）创建工作，有效利用各种渠道和媒体，不断提高对卫生区创建工作的知晓率，激发参与创建卫生镇（村）的主人翁意识。以创建卫生镇（村）为目标，认真分析创建标准和要求，主动对标对表、分解量化，强弱项、补短板、抓落实。各部门按照职责分工，加强指导和行业监管。通过卫生镇（村）创建工作，不断提升宁河区村民的获得感与幸福感。 </w:t>
      </w:r>
    </w:p>
    <w:p w14:paraId="72DA3F6F">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lang w:val="en"/>
        </w:rPr>
      </w:pPr>
      <w:bookmarkStart w:id="847" w:name="_Toc88821345"/>
      <w:bookmarkStart w:id="848" w:name="_Toc16902"/>
      <w:r>
        <w:rPr>
          <w:rFonts w:hint="eastAsia" w:ascii="楷体" w:hAnsi="楷体" w:eastAsia="楷体" w:cs="楷体"/>
          <w:b w:val="0"/>
          <w:bCs/>
          <w:sz w:val="32"/>
          <w:szCs w:val="32"/>
        </w:rPr>
        <w:t>（四）完善全民健身公共服务体系</w:t>
      </w:r>
      <w:bookmarkEnd w:id="847"/>
      <w:bookmarkEnd w:id="848"/>
      <w:r>
        <w:rPr>
          <w:rFonts w:hint="eastAsia" w:ascii="楷体" w:hAnsi="楷体" w:eastAsia="楷体" w:cs="楷体"/>
          <w:b w:val="0"/>
          <w:bCs/>
          <w:sz w:val="32"/>
          <w:szCs w:val="32"/>
        </w:rPr>
        <w:t>。</w:t>
      </w:r>
      <w:r>
        <w:rPr>
          <w:rFonts w:hint="eastAsia" w:ascii="仿宋_GB2312" w:hAnsi="仿宋_GB2312" w:eastAsia="仿宋_GB2312" w:cs="仿宋_GB2312"/>
          <w:sz w:val="32"/>
          <w:szCs w:val="32"/>
          <w:lang w:val="en"/>
        </w:rPr>
        <w:t>持续完善村镇区三级全民健身设施供给体系，在全民健身设施和“</w:t>
      </w:r>
      <w:r>
        <w:rPr>
          <w:rFonts w:hint="eastAsia" w:ascii="仿宋_GB2312" w:hAnsi="仿宋_GB2312" w:eastAsia="仿宋_GB2312" w:cs="仿宋_GB2312"/>
          <w:sz w:val="32"/>
          <w:szCs w:val="32"/>
        </w:rPr>
        <w:t>15分钟健身圈</w:t>
      </w:r>
      <w:r>
        <w:rPr>
          <w:rFonts w:hint="eastAsia" w:ascii="仿宋_GB2312" w:hAnsi="仿宋_GB2312" w:eastAsia="仿宋_GB2312" w:cs="仿宋_GB2312"/>
          <w:sz w:val="32"/>
          <w:szCs w:val="32"/>
          <w:lang w:val="en"/>
        </w:rPr>
        <w:t>”覆盖率</w:t>
      </w:r>
      <w:r>
        <w:rPr>
          <w:rFonts w:hint="eastAsia" w:ascii="仿宋_GB2312" w:hAnsi="仿宋_GB2312" w:eastAsia="仿宋_GB2312" w:cs="仿宋_GB2312"/>
          <w:sz w:val="32"/>
          <w:szCs w:val="32"/>
        </w:rPr>
        <w:t>100%的基础上，提升设施的种类和数量，</w:t>
      </w:r>
      <w:r>
        <w:rPr>
          <w:rFonts w:hint="eastAsia" w:ascii="仿宋_GB2312" w:hAnsi="仿宋_GB2312" w:eastAsia="仿宋_GB2312" w:cs="仿宋_GB2312"/>
          <w:sz w:val="32"/>
          <w:szCs w:val="32"/>
          <w:lang w:val="en"/>
        </w:rPr>
        <w:t>统筹规划体育设施建设和提升改造，完善器材维护机制及管理人员配置。</w:t>
      </w:r>
      <w:r>
        <w:rPr>
          <w:rFonts w:hint="eastAsia" w:ascii="仿宋_GB2312" w:hAnsi="仿宋_GB2312" w:eastAsia="仿宋_GB2312" w:cs="仿宋_GB2312"/>
          <w:sz w:val="32"/>
          <w:szCs w:val="32"/>
        </w:rPr>
        <w:t>通过“体育三下乡”活动，大范围开展村民喜闻乐见的体育活动，丰富村民精神文化生活，推动乡村振兴事业发展</w:t>
      </w:r>
      <w:r>
        <w:rPr>
          <w:rFonts w:hint="eastAsia" w:ascii="仿宋_GB2312" w:hAnsi="仿宋_GB2312" w:eastAsia="仿宋_GB2312" w:cs="仿宋_GB2312"/>
          <w:sz w:val="32"/>
          <w:szCs w:val="32"/>
          <w:lang w:val="en"/>
        </w:rPr>
        <w:t>。推动实现村体育组织全覆盖，提升健身站点的规范化水平，提高健身服务质量。确保基本公共体育服务资源在城乡、行业和人群间均衡基础上，主动将资源向农村倾斜，促进村镇全民健身综合水平明显提升。</w:t>
      </w:r>
    </w:p>
    <w:bookmarkEnd w:id="839"/>
    <w:bookmarkEnd w:id="840"/>
    <w:p w14:paraId="4717C8DD">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849" w:name="_Toc14985"/>
      <w:bookmarkStart w:id="850" w:name="_Toc5461"/>
      <w:bookmarkStart w:id="851" w:name="_Toc11624"/>
      <w:bookmarkStart w:id="852" w:name="_Toc32067"/>
      <w:bookmarkStart w:id="853" w:name="_Toc17727"/>
      <w:bookmarkStart w:id="854" w:name="_Toc13991"/>
      <w:bookmarkStart w:id="855" w:name="_Toc16985"/>
      <w:bookmarkStart w:id="856" w:name="_Toc29807"/>
      <w:bookmarkStart w:id="857" w:name="_Toc24745"/>
      <w:bookmarkStart w:id="858" w:name="_Toc13273"/>
      <w:bookmarkStart w:id="859" w:name="_Toc104110352"/>
      <w:bookmarkStart w:id="860" w:name="_Toc24972"/>
      <w:bookmarkStart w:id="861" w:name="_Toc6652"/>
      <w:bookmarkStart w:id="862" w:name="_Toc122078300"/>
      <w:bookmarkStart w:id="863" w:name="_Toc92507397_WPSOffice_Level2"/>
      <w:bookmarkStart w:id="864" w:name="_Toc15878"/>
      <w:bookmarkStart w:id="865" w:name="_Toc96"/>
      <w:bookmarkStart w:id="866" w:name="_Toc22985"/>
      <w:bookmarkStart w:id="867" w:name="_Toc30583_WPSOffice_Level1"/>
      <w:bookmarkStart w:id="868" w:name="_Toc13469"/>
      <w:bookmarkStart w:id="869" w:name="_Toc21774"/>
      <w:bookmarkStart w:id="870" w:name="_Toc31370"/>
      <w:bookmarkStart w:id="871" w:name="_Toc25155"/>
      <w:bookmarkStart w:id="872" w:name="_Toc30638"/>
      <w:r>
        <w:rPr>
          <w:rFonts w:hint="eastAsia" w:ascii="黑体" w:hAnsi="黑体" w:eastAsia="黑体" w:cs="黑体"/>
          <w:b w:val="0"/>
          <w:bCs/>
          <w:sz w:val="32"/>
          <w:szCs w:val="32"/>
        </w:rPr>
        <w:t>三、促进农业农村绿色发展</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7D0AC1A3">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873" w:name="_Toc15157"/>
      <w:bookmarkStart w:id="874" w:name="_Toc25995"/>
      <w:bookmarkStart w:id="875" w:name="_Toc6852"/>
      <w:bookmarkStart w:id="876" w:name="_Toc21234"/>
      <w:bookmarkStart w:id="877" w:name="_Toc25982"/>
      <w:bookmarkStart w:id="878" w:name="_Toc30446"/>
      <w:bookmarkStart w:id="879" w:name="_Toc6936"/>
      <w:bookmarkStart w:id="880" w:name="_Toc5641"/>
      <w:bookmarkStart w:id="881" w:name="_Toc13436"/>
      <w:bookmarkStart w:id="882" w:name="_Toc18934"/>
      <w:bookmarkStart w:id="883" w:name="_Toc28575"/>
      <w:bookmarkStart w:id="884" w:name="_Toc7252"/>
      <w:bookmarkStart w:id="885" w:name="_Toc25403"/>
      <w:bookmarkStart w:id="886" w:name="_Toc18536_WPSOffice_Level2"/>
      <w:bookmarkStart w:id="887" w:name="_Toc16037"/>
      <w:bookmarkStart w:id="888" w:name="_Toc18074"/>
      <w:bookmarkStart w:id="889" w:name="_Toc14972"/>
      <w:bookmarkStart w:id="890" w:name="_Toc5429"/>
      <w:bookmarkStart w:id="891" w:name="_Toc12946"/>
      <w:bookmarkStart w:id="892" w:name="_Toc7494"/>
      <w:bookmarkStart w:id="893" w:name="_Toc24449"/>
      <w:bookmarkStart w:id="894" w:name="_Toc30690"/>
      <w:bookmarkStart w:id="895" w:name="_Toc4996"/>
      <w:bookmarkStart w:id="896" w:name="_Toc29772"/>
      <w:bookmarkStart w:id="897" w:name="_Toc20029"/>
      <w:bookmarkStart w:id="898" w:name="_Toc19893"/>
      <w:bookmarkStart w:id="899" w:name="_Toc12270"/>
      <w:bookmarkStart w:id="900" w:name="_Toc22294"/>
      <w:bookmarkStart w:id="901" w:name="_Toc13199"/>
      <w:bookmarkStart w:id="902" w:name="_Toc12974"/>
      <w:bookmarkStart w:id="903" w:name="_Toc8972"/>
      <w:bookmarkStart w:id="904" w:name="_Toc14561"/>
      <w:bookmarkStart w:id="905" w:name="_Toc26567"/>
      <w:bookmarkStart w:id="906" w:name="_Toc12177"/>
      <w:bookmarkStart w:id="907" w:name="_Toc29364"/>
      <w:bookmarkStart w:id="908" w:name="_Toc17221"/>
      <w:bookmarkStart w:id="909" w:name="_Toc14918"/>
      <w:bookmarkStart w:id="910" w:name="_Toc104110353"/>
      <w:bookmarkStart w:id="911" w:name="_Toc8912"/>
      <w:bookmarkStart w:id="912" w:name="_Toc25033"/>
      <w:bookmarkStart w:id="913" w:name="_Toc19561"/>
      <w:bookmarkStart w:id="914" w:name="_Toc31842"/>
      <w:bookmarkStart w:id="915" w:name="_Toc4368"/>
      <w:bookmarkStart w:id="916" w:name="_Toc12910"/>
      <w:bookmarkStart w:id="917" w:name="_Toc21824"/>
      <w:bookmarkStart w:id="918" w:name="_Toc15265"/>
      <w:bookmarkStart w:id="919" w:name="_Toc612"/>
      <w:bookmarkStart w:id="920" w:name="_Toc22766"/>
      <w:bookmarkStart w:id="921" w:name="_Toc12892"/>
      <w:bookmarkStart w:id="922" w:name="_Toc2616"/>
      <w:bookmarkStart w:id="923" w:name="_Toc21635"/>
      <w:bookmarkStart w:id="924" w:name="_Toc14514"/>
      <w:r>
        <w:rPr>
          <w:rFonts w:hint="eastAsia" w:ascii="楷体" w:hAnsi="楷体" w:eastAsia="楷体" w:cs="楷体"/>
          <w:b w:val="0"/>
          <w:bCs/>
          <w:sz w:val="32"/>
          <w:szCs w:val="32"/>
        </w:rPr>
        <w:t>（一）构建湿地生态评价指标体系</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r>
        <w:rPr>
          <w:rFonts w:hint="eastAsia" w:ascii="楷体" w:hAnsi="楷体" w:eastAsia="楷体" w:cs="楷体"/>
          <w:b w:val="0"/>
          <w:bCs/>
          <w:sz w:val="32"/>
          <w:szCs w:val="32"/>
        </w:rPr>
        <w:t>。</w:t>
      </w:r>
      <w:r>
        <w:rPr>
          <w:rFonts w:hint="eastAsia" w:ascii="仿宋_GB2312" w:hAnsi="仿宋_GB2312" w:eastAsia="仿宋_GB2312" w:cs="仿宋_GB2312"/>
          <w:sz w:val="32"/>
          <w:szCs w:val="32"/>
        </w:rPr>
        <w:t>严守绿水青山就是金山银山理念，保护七里海湿地，构建生态文明体系，高质量完成《七里海湿地生态保护修复规划(2017-2025年)》目标任务，持续推进“十大工程”成效，探索建立湿地生态评价指标体系，打造国家湿地保护与修复典范。</w:t>
      </w:r>
    </w:p>
    <w:p w14:paraId="0E1BD37B">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925" w:name="_Toc26393"/>
      <w:bookmarkStart w:id="926" w:name="_Toc11932"/>
      <w:bookmarkStart w:id="927" w:name="_Toc14502"/>
      <w:bookmarkStart w:id="928" w:name="_Toc13265"/>
      <w:bookmarkStart w:id="929" w:name="_Toc25476"/>
      <w:bookmarkStart w:id="930" w:name="_Toc30611"/>
      <w:bookmarkStart w:id="931" w:name="_Toc1881"/>
      <w:bookmarkStart w:id="932" w:name="_Toc104110354"/>
      <w:bookmarkStart w:id="933" w:name="_Toc14199"/>
      <w:bookmarkStart w:id="934" w:name="_Toc14475"/>
      <w:bookmarkStart w:id="935" w:name="_Toc21370"/>
      <w:bookmarkStart w:id="936" w:name="_Toc1195"/>
      <w:bookmarkStart w:id="937" w:name="_Toc22946"/>
      <w:bookmarkStart w:id="938" w:name="_Toc32660"/>
      <w:bookmarkStart w:id="939" w:name="_Toc31896_WPSOffice_Level2"/>
      <w:bookmarkStart w:id="940" w:name="_Toc18581"/>
      <w:bookmarkStart w:id="941" w:name="_Toc116"/>
      <w:bookmarkStart w:id="942" w:name="_Toc31861"/>
      <w:bookmarkStart w:id="943" w:name="_Toc3361"/>
      <w:bookmarkStart w:id="944" w:name="_Toc1985"/>
      <w:bookmarkStart w:id="945" w:name="_Toc30360"/>
      <w:bookmarkStart w:id="946" w:name="_Toc21132"/>
      <w:r>
        <w:rPr>
          <w:rFonts w:hint="eastAsia" w:ascii="楷体" w:hAnsi="楷体" w:eastAsia="楷体" w:cs="楷体"/>
          <w:b w:val="0"/>
          <w:bCs/>
          <w:sz w:val="32"/>
          <w:szCs w:val="32"/>
        </w:rPr>
        <w:t>（二）加强农业面源污染监管力度</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Pr>
          <w:rFonts w:hint="eastAsia" w:ascii="楷体" w:hAnsi="楷体" w:eastAsia="楷体" w:cs="楷体"/>
          <w:b w:val="0"/>
          <w:bCs/>
          <w:sz w:val="32"/>
          <w:szCs w:val="32"/>
        </w:rPr>
        <w:t>。</w:t>
      </w:r>
      <w:r>
        <w:rPr>
          <w:rFonts w:hint="eastAsia" w:ascii="仿宋_GB2312" w:hAnsi="仿宋_GB2312" w:eastAsia="仿宋_GB2312" w:cs="仿宋_GB2312"/>
          <w:sz w:val="32"/>
          <w:szCs w:val="32"/>
        </w:rPr>
        <w:t>全力做好《天津市宁河区农业面源污染治理与监督指导试点》工作，形成可复制、可推广的农业面源污染治理措施和监管模式。推进农业面源污染治理，以优先治理区域为重点，围绕 种植、养殖业污染控制，进行系统设计、优化空间布局，启动实施“源头减量－过程控制－末端治理－循环利用”工程，形成一批易复制、可推广的治理措施。</w:t>
      </w:r>
    </w:p>
    <w:bookmarkEnd w:id="754"/>
    <w:p w14:paraId="20585F42">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947" w:name="_Toc20378"/>
      <w:bookmarkStart w:id="948" w:name="_Toc7126"/>
      <w:bookmarkStart w:id="949" w:name="_Toc22397"/>
      <w:bookmarkStart w:id="950" w:name="_Toc16280"/>
      <w:bookmarkStart w:id="951" w:name="_Toc8996"/>
      <w:bookmarkStart w:id="952" w:name="_Toc310"/>
      <w:bookmarkStart w:id="953" w:name="_Toc20237"/>
      <w:bookmarkStart w:id="954" w:name="_Toc30180"/>
      <w:bookmarkStart w:id="955" w:name="_Toc10290"/>
      <w:bookmarkStart w:id="956" w:name="_Toc27835"/>
      <w:bookmarkStart w:id="957" w:name="_Toc3120"/>
      <w:bookmarkStart w:id="958" w:name="_Toc13916"/>
      <w:bookmarkStart w:id="959" w:name="_Toc23545"/>
      <w:bookmarkStart w:id="960" w:name="_Toc8580"/>
      <w:bookmarkStart w:id="961" w:name="_Toc1838"/>
      <w:bookmarkStart w:id="962" w:name="_Toc2000"/>
      <w:bookmarkStart w:id="963" w:name="_Toc18403"/>
      <w:bookmarkStart w:id="964" w:name="_Toc5567"/>
      <w:bookmarkStart w:id="965" w:name="_Toc688"/>
      <w:bookmarkStart w:id="966" w:name="_Toc10615"/>
      <w:bookmarkStart w:id="967" w:name="_Toc6641"/>
      <w:bookmarkStart w:id="968" w:name="_Toc9116_WPSOffice_Level2"/>
      <w:bookmarkStart w:id="969" w:name="_Toc104110355"/>
      <w:bookmarkStart w:id="970" w:name="_Toc806"/>
      <w:bookmarkStart w:id="971" w:name="_Toc32617"/>
      <w:bookmarkStart w:id="972" w:name="_Toc22847"/>
      <w:bookmarkStart w:id="973" w:name="_Toc7202"/>
      <w:bookmarkStart w:id="974" w:name="_Toc9234"/>
      <w:bookmarkStart w:id="975" w:name="_Toc13636"/>
      <w:bookmarkStart w:id="976" w:name="_Toc11311"/>
      <w:bookmarkStart w:id="977" w:name="_Toc17622"/>
      <w:bookmarkStart w:id="978" w:name="_Toc4932"/>
      <w:bookmarkStart w:id="979" w:name="_Toc27287"/>
      <w:bookmarkStart w:id="980" w:name="_Toc32100"/>
      <w:bookmarkStart w:id="981" w:name="_Toc2607"/>
      <w:bookmarkStart w:id="982" w:name="_Toc28846"/>
      <w:bookmarkStart w:id="983" w:name="_Toc23151"/>
      <w:bookmarkStart w:id="984" w:name="_Toc17951"/>
      <w:bookmarkStart w:id="985" w:name="_Toc21289"/>
      <w:bookmarkStart w:id="986" w:name="_Toc15292"/>
      <w:bookmarkStart w:id="987" w:name="_Toc14453"/>
      <w:bookmarkStart w:id="988" w:name="_Toc2222"/>
      <w:bookmarkStart w:id="989" w:name="_Toc21232"/>
      <w:bookmarkStart w:id="990" w:name="_Toc15111"/>
      <w:bookmarkStart w:id="991" w:name="_Toc11596"/>
      <w:bookmarkStart w:id="992" w:name="_Toc1243"/>
      <w:bookmarkStart w:id="993" w:name="_Toc14348"/>
      <w:bookmarkStart w:id="994" w:name="_Toc23900"/>
      <w:bookmarkStart w:id="995" w:name="_Toc7086"/>
      <w:bookmarkStart w:id="996" w:name="_Toc28116"/>
      <w:bookmarkStart w:id="997" w:name="_Toc29848"/>
      <w:bookmarkStart w:id="998" w:name="_Toc22032"/>
      <w:r>
        <w:rPr>
          <w:rFonts w:hint="eastAsia" w:ascii="楷体" w:hAnsi="楷体" w:eastAsia="楷体" w:cs="楷体"/>
          <w:b w:val="0"/>
          <w:bCs/>
          <w:sz w:val="32"/>
          <w:szCs w:val="32"/>
        </w:rPr>
        <w:t>（二）加强农村生态保护与修复</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rPr>
          <w:rFonts w:hint="eastAsia" w:ascii="楷体" w:hAnsi="楷体" w:eastAsia="楷体" w:cs="楷体"/>
          <w:b w:val="0"/>
          <w:bCs/>
          <w:sz w:val="32"/>
          <w:szCs w:val="32"/>
        </w:rPr>
        <w:t>。</w:t>
      </w:r>
      <w:r>
        <w:rPr>
          <w:rFonts w:hint="eastAsia" w:ascii="仿宋_GB2312" w:hAnsi="仿宋_GB2312" w:eastAsia="仿宋_GB2312" w:cs="仿宋_GB2312"/>
          <w:sz w:val="32"/>
          <w:szCs w:val="32"/>
        </w:rPr>
        <w:t>提高农业农村生态环境保护工作的科学性有效性，逐步完成恢复性生态修复。初步建成全国湿地保护修复样本、生物多样性示范基地，启动七里海湿地博物馆和七里海湿地监测监控中心规划建设，对缓冲区内生态环境进行恢复性修复。</w:t>
      </w:r>
    </w:p>
    <w:p w14:paraId="5EECACBC">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bookmarkStart w:id="999" w:name="_Toc31815"/>
      <w:bookmarkStart w:id="1000" w:name="_Toc31745"/>
      <w:bookmarkStart w:id="1001" w:name="_Toc3370"/>
      <w:bookmarkStart w:id="1002" w:name="_Toc28101"/>
      <w:bookmarkStart w:id="1003" w:name="_Toc20626"/>
      <w:bookmarkStart w:id="1004" w:name="_Toc29964"/>
      <w:bookmarkStart w:id="1005" w:name="_Toc29343"/>
      <w:bookmarkStart w:id="1006" w:name="_Toc25046"/>
      <w:bookmarkStart w:id="1007" w:name="_Toc965"/>
      <w:bookmarkStart w:id="1008" w:name="_Toc29705"/>
      <w:bookmarkStart w:id="1009" w:name="_Toc8521"/>
      <w:bookmarkStart w:id="1010" w:name="_Toc23708"/>
      <w:bookmarkStart w:id="1011" w:name="_Toc14944"/>
      <w:bookmarkStart w:id="1012" w:name="_Toc22843"/>
      <w:bookmarkStart w:id="1013" w:name="_Toc21188"/>
      <w:bookmarkStart w:id="1014" w:name="_Toc23060"/>
      <w:bookmarkStart w:id="1015" w:name="_Toc13641"/>
      <w:bookmarkStart w:id="1016" w:name="_Toc20280"/>
      <w:bookmarkStart w:id="1017" w:name="_Toc9365"/>
      <w:bookmarkStart w:id="1018" w:name="_Toc11822"/>
      <w:bookmarkStart w:id="1019" w:name="_Toc26174"/>
      <w:bookmarkStart w:id="1020" w:name="_Toc7882_WPSOffice_Level2"/>
      <w:bookmarkStart w:id="1021" w:name="_Toc65"/>
      <w:bookmarkStart w:id="1022" w:name="_Toc23619"/>
      <w:bookmarkStart w:id="1023" w:name="_Toc16926"/>
      <w:bookmarkStart w:id="1024" w:name="_Toc104110356"/>
      <w:bookmarkStart w:id="1025" w:name="_Toc26675"/>
      <w:bookmarkStart w:id="1026" w:name="_Toc29984"/>
      <w:bookmarkStart w:id="1027" w:name="_Toc3039"/>
      <w:bookmarkStart w:id="1028" w:name="_Toc28121"/>
      <w:bookmarkStart w:id="1029" w:name="_Toc20641"/>
      <w:bookmarkStart w:id="1030" w:name="_Toc2487"/>
      <w:bookmarkStart w:id="1031" w:name="_Toc6800"/>
      <w:bookmarkStart w:id="1032" w:name="_Toc12915"/>
      <w:bookmarkStart w:id="1033" w:name="_Toc12588"/>
      <w:bookmarkStart w:id="1034" w:name="_Toc4247"/>
      <w:bookmarkStart w:id="1035" w:name="_Toc26255"/>
      <w:bookmarkStart w:id="1036" w:name="_Toc30738"/>
      <w:bookmarkStart w:id="1037" w:name="_Toc4133"/>
      <w:bookmarkStart w:id="1038" w:name="_Toc22231"/>
      <w:bookmarkStart w:id="1039" w:name="_Toc19047"/>
      <w:bookmarkStart w:id="1040" w:name="_Toc336"/>
      <w:bookmarkStart w:id="1041" w:name="_Toc7595"/>
      <w:bookmarkStart w:id="1042" w:name="_Toc23487"/>
      <w:bookmarkStart w:id="1043" w:name="_Toc15471"/>
      <w:bookmarkStart w:id="1044" w:name="_Toc30197"/>
      <w:bookmarkStart w:id="1045" w:name="_Toc31637"/>
      <w:bookmarkStart w:id="1046" w:name="_Toc26520"/>
      <w:bookmarkStart w:id="1047" w:name="_Toc19372"/>
      <w:bookmarkStart w:id="1048" w:name="_Toc16820"/>
      <w:r>
        <w:rPr>
          <w:rFonts w:hint="eastAsia" w:ascii="楷体" w:hAnsi="楷体" w:eastAsia="楷体" w:cs="楷体"/>
          <w:b w:val="0"/>
          <w:bCs/>
          <w:sz w:val="32"/>
          <w:szCs w:val="32"/>
        </w:rPr>
        <w:t>（三）助力实现区域双碳目标</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Pr>
          <w:rFonts w:hint="eastAsia" w:ascii="楷体" w:hAnsi="楷体" w:eastAsia="楷体" w:cs="楷体"/>
          <w:b w:val="0"/>
          <w:bCs/>
          <w:sz w:val="32"/>
          <w:szCs w:val="32"/>
        </w:rPr>
        <w:t>。</w:t>
      </w:r>
      <w:r>
        <w:rPr>
          <w:rFonts w:hint="eastAsia" w:ascii="仿宋_GB2312" w:hAnsi="仿宋_GB2312" w:eastAsia="仿宋_GB2312" w:cs="仿宋_GB2312"/>
          <w:sz w:val="32"/>
          <w:szCs w:val="32"/>
        </w:rPr>
        <w:t>树牢“绿色决定生死”理念，不断推进农业产业与生态和谐发展，推进农业生产和消费向绿色转型，把握好碳达峰、碳中和与农业产业发展、农村民生改善、生态环境保护的关系，建成低碳宁河、美丽宁河。</w:t>
      </w:r>
    </w:p>
    <w:p w14:paraId="76971008">
      <w:pPr>
        <w:pStyle w:val="3"/>
        <w:pageBreakBefore w:val="0"/>
        <w:kinsoku/>
        <w:wordWrap/>
        <w:topLinePunct w:val="0"/>
        <w:autoSpaceDE/>
        <w:autoSpaceDN/>
        <w:bidi w:val="0"/>
        <w:spacing w:line="560" w:lineRule="exact"/>
        <w:rPr>
          <w:rFonts w:hint="eastAsia" w:ascii="黑体" w:hAnsi="黑体" w:eastAsia="黑体" w:cs="黑体"/>
          <w:sz w:val="32"/>
          <w:szCs w:val="32"/>
        </w:rPr>
      </w:pPr>
      <w:bookmarkStart w:id="1049" w:name="_Toc14126"/>
      <w:bookmarkStart w:id="1050" w:name="_Toc6524"/>
      <w:bookmarkStart w:id="1051" w:name="_Toc8262"/>
      <w:bookmarkStart w:id="1052" w:name="_Toc7685"/>
      <w:bookmarkStart w:id="1053" w:name="_Toc4989"/>
      <w:bookmarkStart w:id="1054" w:name="_Toc10319"/>
      <w:bookmarkStart w:id="1055" w:name="_Toc31331"/>
      <w:bookmarkStart w:id="1056" w:name="_Toc7851"/>
      <w:bookmarkStart w:id="1057" w:name="_Toc335"/>
      <w:bookmarkStart w:id="1058" w:name="_Toc17062"/>
      <w:bookmarkStart w:id="1059" w:name="_Toc27707"/>
      <w:bookmarkStart w:id="1060" w:name="_Toc7818"/>
      <w:bookmarkStart w:id="1061" w:name="_Toc1388"/>
      <w:bookmarkStart w:id="1062" w:name="_Toc31767"/>
      <w:bookmarkStart w:id="1063" w:name="_Toc12978"/>
      <w:bookmarkStart w:id="1064" w:name="_Toc18592"/>
      <w:bookmarkStart w:id="1065" w:name="_Toc23321"/>
      <w:bookmarkStart w:id="1066" w:name="_Toc88821328"/>
      <w:bookmarkStart w:id="1067" w:name="_Toc4831_WPSOffice_Level1"/>
      <w:bookmarkStart w:id="1068" w:name="_Toc122078301"/>
      <w:bookmarkStart w:id="1069" w:name="_Toc18266"/>
      <w:bookmarkStart w:id="1070" w:name="_Toc3723"/>
      <w:bookmarkStart w:id="1071" w:name="_Toc1375842663_WPSOffice_Level1"/>
      <w:bookmarkStart w:id="1072" w:name="_Toc32109"/>
      <w:bookmarkStart w:id="1073" w:name="_Toc17411"/>
      <w:bookmarkStart w:id="1074" w:name="_Toc104110357"/>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 xml:space="preserve">章 </w:t>
      </w:r>
      <w:r>
        <w:rPr>
          <w:rFonts w:hint="eastAsia" w:ascii="黑体" w:hAnsi="黑体" w:eastAsia="黑体" w:cs="黑体"/>
          <w:sz w:val="32"/>
          <w:szCs w:val="32"/>
          <w:lang w:eastAsia="zh-CN"/>
        </w:rPr>
        <w:t>完善</w:t>
      </w:r>
      <w:r>
        <w:rPr>
          <w:rFonts w:hint="eastAsia" w:ascii="黑体" w:hAnsi="黑体" w:eastAsia="黑体" w:cs="黑体"/>
          <w:sz w:val="32"/>
          <w:szCs w:val="32"/>
        </w:rPr>
        <w:t>治理体系建设，</w:t>
      </w:r>
      <w:r>
        <w:rPr>
          <w:rFonts w:hint="eastAsia" w:ascii="黑体" w:hAnsi="黑体" w:eastAsia="黑体" w:cs="黑体"/>
          <w:sz w:val="32"/>
          <w:szCs w:val="32"/>
          <w:lang w:eastAsia="zh-CN"/>
        </w:rPr>
        <w:t>实现</w:t>
      </w:r>
      <w:r>
        <w:rPr>
          <w:rFonts w:hint="eastAsia" w:ascii="黑体" w:hAnsi="黑体" w:eastAsia="黑体" w:cs="黑体"/>
          <w:sz w:val="32"/>
          <w:szCs w:val="32"/>
        </w:rPr>
        <w:t>乡村治理现代化</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p w14:paraId="56502643">
      <w:pPr>
        <w:pageBreakBefore w:val="0"/>
        <w:kinsoku/>
        <w:wordWrap/>
        <w:topLinePunct w:val="0"/>
        <w:autoSpaceDE/>
        <w:autoSpaceDN/>
        <w:bidi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结合近郊都市型乡村的发展特色，强化党建引领，深入开展乡村治理的自治、法治、德治、智治的各方面探索，夯实乡村治理基础，打造宁河现代化乡村治理新格局。</w:t>
      </w:r>
    </w:p>
    <w:p w14:paraId="1C72C721">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1075" w:name="_Toc28178"/>
      <w:bookmarkStart w:id="1076" w:name="_Toc12703"/>
      <w:bookmarkStart w:id="1077" w:name="_Toc27584_WPSOffice_Level2"/>
      <w:bookmarkStart w:id="1078" w:name="_Toc122078302"/>
      <w:bookmarkStart w:id="1079" w:name="_Toc1970966416_WPSOffice_Level2"/>
      <w:bookmarkStart w:id="1080" w:name="_Toc25958"/>
      <w:bookmarkStart w:id="1081" w:name="_Toc23055"/>
      <w:bookmarkStart w:id="1082" w:name="_Toc104110358"/>
      <w:bookmarkStart w:id="1083" w:name="_Toc18972"/>
      <w:bookmarkStart w:id="1084" w:name="_Toc26797"/>
      <w:bookmarkStart w:id="1085" w:name="_Toc13779"/>
      <w:bookmarkStart w:id="1086" w:name="_Toc15528"/>
      <w:bookmarkStart w:id="1087" w:name="_Toc16649"/>
      <w:bookmarkStart w:id="1088" w:name="_Toc5745"/>
      <w:bookmarkStart w:id="1089" w:name="_Toc27834"/>
      <w:bookmarkStart w:id="1090" w:name="_Toc29316"/>
      <w:bookmarkStart w:id="1091" w:name="_Toc88821332"/>
      <w:bookmarkStart w:id="1092" w:name="_Toc6817"/>
      <w:bookmarkStart w:id="1093" w:name="_Toc886"/>
      <w:bookmarkStart w:id="1094" w:name="_Toc18295"/>
      <w:bookmarkStart w:id="1095" w:name="_Toc18319"/>
      <w:bookmarkStart w:id="1096" w:name="_Toc31924"/>
      <w:bookmarkStart w:id="1097" w:name="_Toc7159"/>
      <w:bookmarkStart w:id="1098" w:name="_Toc23447"/>
      <w:bookmarkStart w:id="1099" w:name="_Toc22175"/>
      <w:bookmarkStart w:id="1100" w:name="_Toc32763"/>
      <w:bookmarkStart w:id="1101" w:name="_Toc88821329"/>
      <w:bookmarkStart w:id="1102" w:name="_Toc9283"/>
      <w:r>
        <w:rPr>
          <w:rFonts w:hint="eastAsia" w:ascii="黑体" w:hAnsi="黑体" w:eastAsia="黑体" w:cs="黑体"/>
          <w:b w:val="0"/>
          <w:bCs/>
          <w:sz w:val="32"/>
          <w:szCs w:val="32"/>
        </w:rPr>
        <w:t>一、构建基层乡村治理体系</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14:paraId="2B15D14D">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lang w:val="en"/>
        </w:rPr>
      </w:pPr>
      <w:r>
        <w:rPr>
          <w:rFonts w:hint="eastAsia" w:ascii="楷体" w:hAnsi="楷体" w:eastAsia="楷体" w:cs="楷体"/>
          <w:b w:val="0"/>
          <w:bCs/>
          <w:sz w:val="32"/>
          <w:szCs w:val="32"/>
          <w:shd w:val="clear" w:color="auto" w:fill="FFFFFF"/>
          <w:lang w:val="en" w:bidi="ar"/>
        </w:rPr>
        <w:t>（一）构建基层乡村治理体系。</w:t>
      </w:r>
      <w:r>
        <w:rPr>
          <w:rFonts w:hint="eastAsia" w:ascii="仿宋_GB2312" w:hAnsi="仿宋_GB2312" w:eastAsia="仿宋_GB2312" w:cs="仿宋_GB2312"/>
          <w:sz w:val="32"/>
          <w:szCs w:val="32"/>
        </w:rPr>
        <w:t>坚持“自治、法治、德治、智治”融合的治理模式，以党建引领基层乡村治理为抓手，</w:t>
      </w:r>
      <w:r>
        <w:rPr>
          <w:rFonts w:hint="eastAsia" w:ascii="仿宋_GB2312" w:hAnsi="仿宋_GB2312" w:eastAsia="仿宋_GB2312" w:cs="仿宋_GB2312"/>
          <w:sz w:val="32"/>
          <w:szCs w:val="32"/>
          <w:lang w:val="en"/>
        </w:rPr>
        <w:t>推广运用积分制、清单制，实现村民自治行为标准化、具象化，确保村民自治工作可量化。</w:t>
      </w:r>
    </w:p>
    <w:p w14:paraId="54E20172">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lang w:val="en"/>
        </w:rPr>
      </w:pPr>
      <w:r>
        <w:rPr>
          <w:rFonts w:hint="eastAsia" w:ascii="楷体" w:hAnsi="楷体" w:eastAsia="楷体" w:cs="楷体"/>
          <w:b w:val="0"/>
          <w:bCs/>
          <w:sz w:val="32"/>
          <w:szCs w:val="32"/>
          <w:lang w:val="en"/>
        </w:rPr>
        <w:t>（二）形成共建共治共享的乡村治理格局。</w:t>
      </w:r>
      <w:r>
        <w:rPr>
          <w:rFonts w:hint="eastAsia" w:ascii="仿宋_GB2312" w:hAnsi="仿宋_GB2312" w:eastAsia="仿宋_GB2312" w:cs="仿宋_GB2312"/>
          <w:sz w:val="32"/>
          <w:szCs w:val="32"/>
          <w:lang w:val="en"/>
        </w:rPr>
        <w:t>增强基层自治组织自治活力和服务效能，指导村民依法自治，不断完善村规民约和居民公约内容，破除陈规旧俗，积极弘扬社会主义核心价值观。强化村规民约对村民的宣传教育引导作用。继续做好村务公开信息化平台推广工作，切实提高村级组织的透明度。进一步丰富和拓展村务公开形式，提升村务公开平台的覆盖面，实现村务公开工作信息化，保证村民群众合法权益和村集体利益，及时公开党和国家在农村的方针政策、新农村建设中的有关事项及落实情况，切实尊重和保障村民的知情权、参与权和监督权，提升乡村治理水平。</w:t>
      </w:r>
    </w:p>
    <w:p w14:paraId="7F390085">
      <w:pPr>
        <w:pStyle w:val="7"/>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lang w:val="en"/>
        </w:rPr>
      </w:pPr>
      <w:r>
        <w:rPr>
          <w:rFonts w:hint="eastAsia" w:ascii="楷体" w:hAnsi="楷体" w:eastAsia="楷体" w:cs="楷体"/>
          <w:b w:val="0"/>
          <w:bCs/>
          <w:sz w:val="32"/>
          <w:szCs w:val="32"/>
          <w:lang w:val="en"/>
        </w:rPr>
        <w:t>（三）健全村级事务管理制度。</w:t>
      </w:r>
      <w:r>
        <w:rPr>
          <w:rFonts w:hint="eastAsia" w:ascii="仿宋_GB2312" w:hAnsi="仿宋_GB2312" w:eastAsia="仿宋_GB2312" w:cs="仿宋_GB2312"/>
          <w:sz w:val="32"/>
          <w:szCs w:val="32"/>
          <w:lang w:val="en"/>
        </w:rPr>
        <w:t>完善村民会议等议事协商制度、村级事务“阳光公开”制度、村干部经济责任审计制度和小微权力监督制约制度，坚持“六部决策法”“四议两公开”制度，推动村级事务管理规范化。</w:t>
      </w:r>
    </w:p>
    <w:p w14:paraId="57C33C5F">
      <w:pPr>
        <w:pageBreakBefore w:val="0"/>
        <w:kinsoku/>
        <w:wordWrap/>
        <w:topLinePunct w:val="0"/>
        <w:autoSpaceDE/>
        <w:autoSpaceDN/>
        <w:bidi w:val="0"/>
        <w:spacing w:line="560" w:lineRule="exact"/>
        <w:ind w:firstLine="643"/>
        <w:rPr>
          <w:rFonts w:hint="eastAsia" w:ascii="仿宋_GB2312" w:hAnsi="仿宋_GB2312" w:eastAsia="仿宋_GB2312" w:cs="仿宋_GB2312"/>
          <w:b/>
          <w:sz w:val="32"/>
          <w:szCs w:val="32"/>
          <w:lang w:val="en"/>
        </w:rPr>
      </w:pPr>
      <w:r>
        <w:rPr>
          <w:rFonts w:hint="eastAsia" w:ascii="楷体" w:hAnsi="楷体" w:eastAsia="楷体" w:cs="楷体"/>
          <w:b w:val="0"/>
          <w:bCs/>
          <w:sz w:val="32"/>
          <w:szCs w:val="32"/>
          <w:lang w:val="en"/>
        </w:rPr>
        <w:t>（四）推动清单制、积分制实施。</w:t>
      </w:r>
      <w:r>
        <w:rPr>
          <w:rFonts w:hint="eastAsia" w:ascii="仿宋_GB2312" w:hAnsi="仿宋_GB2312" w:eastAsia="仿宋_GB2312" w:cs="仿宋_GB2312"/>
          <w:sz w:val="32"/>
          <w:szCs w:val="32"/>
        </w:rPr>
        <w:t>积极探索在乡村治理中运用清单制和积分制的具体标准和务实举措。在乡村振兴示范村、经济薄弱村中率先开展乡村治理清单制、积分制应用试点示范建设，并逐步在全区各村推广，为培育文明乡风、提升群众思想觉悟、激发农村自治动力探索路子、积累经验、形成示范。</w:t>
      </w:r>
    </w:p>
    <w:p w14:paraId="384ED4CB">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lang w:val="en"/>
        </w:rPr>
      </w:pPr>
      <w:r>
        <w:rPr>
          <w:rFonts w:hint="eastAsia" w:ascii="楷体" w:hAnsi="楷体" w:eastAsia="楷体" w:cs="楷体"/>
          <w:b w:val="0"/>
          <w:bCs/>
          <w:sz w:val="32"/>
          <w:szCs w:val="32"/>
        </w:rPr>
        <w:t>（五）强化乡村治理示范村镇典型培育。</w:t>
      </w:r>
      <w:r>
        <w:rPr>
          <w:rFonts w:hint="eastAsia" w:ascii="仿宋_GB2312" w:hAnsi="仿宋_GB2312" w:eastAsia="仿宋_GB2312" w:cs="仿宋_GB2312"/>
          <w:sz w:val="32"/>
          <w:szCs w:val="32"/>
          <w:lang w:val="en"/>
        </w:rPr>
        <w:t>到2025年末，</w:t>
      </w:r>
      <w:r>
        <w:rPr>
          <w:rFonts w:hint="eastAsia" w:ascii="仿宋_GB2312" w:hAnsi="仿宋_GB2312" w:eastAsia="仿宋_GB2312" w:cs="仿宋_GB2312"/>
          <w:sz w:val="32"/>
          <w:szCs w:val="32"/>
        </w:rPr>
        <w:t>80</w:t>
      </w:r>
      <w:r>
        <w:rPr>
          <w:rFonts w:hint="eastAsia" w:ascii="仿宋_GB2312" w:hAnsi="仿宋_GB2312" w:eastAsia="仿宋_GB2312" w:cs="仿宋_GB2312"/>
          <w:sz w:val="32"/>
          <w:szCs w:val="32"/>
          <w:lang w:val="en"/>
        </w:rPr>
        <w:t>%以上村庄实行积分制管理，累计认定市级乡村治理示范村</w:t>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
        </w:rPr>
        <w:t>个，市级乡村治理示范镇</w:t>
      </w:r>
      <w:r>
        <w:rPr>
          <w:rFonts w:hint="eastAsia" w:ascii="仿宋_GB2312" w:hAnsi="仿宋_GB2312" w:eastAsia="仿宋_GB2312" w:cs="仿宋_GB2312"/>
          <w:sz w:val="32"/>
          <w:szCs w:val="32"/>
        </w:rPr>
        <w:t>5个，国家级乡村治理示范村5个。</w:t>
      </w:r>
    </w:p>
    <w:p w14:paraId="4A53CE1E">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1103" w:name="_Toc490727890_WPSOffice_Level2"/>
      <w:bookmarkStart w:id="1104" w:name="_Toc18359"/>
      <w:bookmarkStart w:id="1105" w:name="_Toc22612"/>
      <w:bookmarkStart w:id="1106" w:name="_Toc964"/>
      <w:bookmarkStart w:id="1107" w:name="_Toc10188"/>
      <w:bookmarkStart w:id="1108" w:name="_Toc1134"/>
      <w:bookmarkStart w:id="1109" w:name="_Toc27840"/>
      <w:bookmarkStart w:id="1110" w:name="_Toc215"/>
      <w:bookmarkStart w:id="1111" w:name="_Toc21209"/>
      <w:bookmarkStart w:id="1112" w:name="_Toc2374"/>
      <w:bookmarkStart w:id="1113" w:name="_Toc30356"/>
      <w:bookmarkStart w:id="1114" w:name="_Toc104110359"/>
      <w:bookmarkStart w:id="1115" w:name="_Toc4069"/>
      <w:bookmarkStart w:id="1116" w:name="_Toc2690"/>
      <w:bookmarkStart w:id="1117" w:name="_Toc32427"/>
      <w:bookmarkStart w:id="1118" w:name="_Toc639"/>
      <w:bookmarkStart w:id="1119" w:name="_Toc23006"/>
      <w:bookmarkStart w:id="1120" w:name="_Toc4712"/>
      <w:bookmarkStart w:id="1121" w:name="_Toc31365"/>
      <w:bookmarkStart w:id="1122" w:name="_Toc122078303"/>
      <w:bookmarkStart w:id="1123" w:name="_Toc23497_WPSOffice_Level2"/>
      <w:bookmarkStart w:id="1124" w:name="_Toc32097"/>
      <w:bookmarkStart w:id="1125" w:name="_Toc16281"/>
      <w:bookmarkStart w:id="1126" w:name="_Toc9651"/>
      <w:r>
        <w:rPr>
          <w:rFonts w:hint="eastAsia" w:ascii="黑体" w:hAnsi="黑体" w:eastAsia="黑体" w:cs="黑体"/>
          <w:b w:val="0"/>
          <w:bCs/>
          <w:sz w:val="32"/>
          <w:szCs w:val="32"/>
        </w:rPr>
        <w:t>二、加强基层党组织建设</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14:paraId="14214CD2">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shd w:val="clear" w:color="auto" w:fill="FFFFFF"/>
          <w:lang w:bidi="ar"/>
        </w:rPr>
        <w:t>（一）强化“思想筑魂”工程。</w:t>
      </w:r>
      <w:r>
        <w:rPr>
          <w:rFonts w:hint="eastAsia" w:ascii="仿宋_GB2312" w:hAnsi="仿宋_GB2312" w:eastAsia="仿宋_GB2312" w:cs="仿宋_GB2312"/>
          <w:sz w:val="32"/>
          <w:szCs w:val="32"/>
        </w:rPr>
        <w:t>强化政治理论学习，推进学习教育常态化制度化。在街镇村基层党组织和广大党员中持续深化学习贯彻习近平新时代中国特色社会主义思想，增强守初心、担使命的思想自觉、政治自觉和行动自觉。积极开展集中培训、集体研讨、专题宣讲、知识竞赛和“支部书记讲党课”等活动，认真落实不忘初心、牢记使命的制度，专人抓好任务清单落实。</w:t>
      </w:r>
    </w:p>
    <w:p w14:paraId="29CBD502">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shd w:val="clear" w:color="auto" w:fill="FFFFFF"/>
          <w:lang w:bidi="ar"/>
        </w:rPr>
        <w:t>（二）强化“支部堡垒”工程。</w:t>
      </w:r>
      <w:r>
        <w:rPr>
          <w:rFonts w:hint="eastAsia" w:ascii="仿宋_GB2312" w:hAnsi="仿宋_GB2312" w:eastAsia="仿宋_GB2312" w:cs="仿宋_GB2312"/>
          <w:bCs/>
          <w:sz w:val="32"/>
          <w:szCs w:val="32"/>
        </w:rPr>
        <w:t>严格落实属地责任，跟进管理权属落实，健全共建共治共享工作机制</w:t>
      </w:r>
      <w:r>
        <w:rPr>
          <w:rFonts w:hint="eastAsia" w:ascii="仿宋_GB2312" w:hAnsi="仿宋_GB2312" w:eastAsia="仿宋_GB2312" w:cs="仿宋_GB2312"/>
          <w:sz w:val="32"/>
          <w:szCs w:val="32"/>
          <w:shd w:val="clear" w:color="auto" w:fill="FFFFFF"/>
          <w:lang w:bidi="ar"/>
        </w:rPr>
        <w:t>，进一步提升政治功能和组织力</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村级重大事务执行“四议两公开”、“六步决策法”、小微权力清单制等，及时解决群众反映的热点难点问题。</w:t>
      </w:r>
    </w:p>
    <w:p w14:paraId="15A88635">
      <w:pPr>
        <w:pageBreakBefore w:val="0"/>
        <w:kinsoku/>
        <w:wordWrap/>
        <w:topLinePunct w:val="0"/>
        <w:autoSpaceDE/>
        <w:autoSpaceDN/>
        <w:bidi w:val="0"/>
        <w:spacing w:line="560" w:lineRule="exact"/>
        <w:ind w:left="640" w:leftChars="200" w:firstLine="0" w:firstLineChars="0"/>
        <w:rPr>
          <w:rFonts w:hint="eastAsia" w:ascii="仿宋_GB2312" w:hAnsi="仿宋_GB2312" w:eastAsia="仿宋_GB2312" w:cs="仿宋_GB2312"/>
          <w:b/>
          <w:sz w:val="32"/>
          <w:szCs w:val="32"/>
          <w:shd w:val="clear" w:color="auto" w:fill="FFFFFF"/>
          <w:lang w:bidi="ar"/>
        </w:rPr>
      </w:pPr>
      <w:r>
        <w:rPr>
          <w:rFonts w:hint="eastAsia" w:ascii="楷体" w:hAnsi="楷体" w:eastAsia="楷体" w:cs="楷体"/>
          <w:b w:val="0"/>
          <w:bCs/>
          <w:sz w:val="32"/>
          <w:szCs w:val="32"/>
          <w:shd w:val="clear" w:color="auto" w:fill="FFFFFF"/>
          <w:lang w:bidi="ar"/>
        </w:rPr>
        <w:t>（三）强化“头雁培育”工程。</w:t>
      </w:r>
    </w:p>
    <w:p w14:paraId="48CBC502">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shd w:val="clear" w:color="auto" w:fill="FFFFFF"/>
          <w:lang w:bidi="ar"/>
        </w:rPr>
        <w:t>1.</w:t>
      </w:r>
      <w:r>
        <w:rPr>
          <w:rFonts w:hint="eastAsia" w:ascii="仿宋_GB2312" w:hAnsi="仿宋_GB2312" w:eastAsia="仿宋_GB2312" w:cs="仿宋_GB2312"/>
          <w:b/>
          <w:sz w:val="32"/>
          <w:szCs w:val="32"/>
        </w:rPr>
        <w:t>选好基层带头人。</w:t>
      </w:r>
      <w:r>
        <w:rPr>
          <w:rFonts w:hint="eastAsia" w:ascii="仿宋_GB2312" w:hAnsi="仿宋_GB2312" w:eastAsia="仿宋_GB2312" w:cs="仿宋_GB2312"/>
          <w:sz w:val="32"/>
          <w:szCs w:val="32"/>
        </w:rPr>
        <w:t>坚定不移落实党组织书记、村委会主任“一肩挑”，突出政治首关，把“能干的好人”找出来、选上来、用起来。注重从现任村干部、农村专职党务工作者、优秀大学生村官、农村致富能手、外出务工经商人员、回乡大中专毕业生、复退军人等群体中选优村党组织书记。坚持每年招聘农村专职党务工作者，确保行政村全覆盖。推行“农村职业经理人”招聘制度。</w:t>
      </w:r>
    </w:p>
    <w:p w14:paraId="6E0DAAAE">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2.严格管理监督。</w:t>
      </w:r>
      <w:r>
        <w:rPr>
          <w:rFonts w:hint="eastAsia" w:ascii="仿宋_GB2312" w:hAnsi="仿宋_GB2312" w:eastAsia="仿宋_GB2312" w:cs="仿宋_GB2312"/>
          <w:sz w:val="32"/>
          <w:szCs w:val="32"/>
        </w:rPr>
        <w:t>全面深化支部书记承诺践诺制，对基层支部班子工作情况实行目标任务清单管理，完善目标绩效量化考核办法，加强支部书记履职全过程监督管理。认真落实街镇党（工）委与村干部谈心谈话制度，进一步健全完善评星定级工作，深入开展党建述职和民主评议工作，对履职不力的及时诫勉，对不称职的坚决调整。</w:t>
      </w:r>
    </w:p>
    <w:p w14:paraId="704223BA">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lang w:val="en"/>
        </w:rPr>
      </w:pPr>
      <w:r>
        <w:rPr>
          <w:rFonts w:hint="eastAsia" w:ascii="楷体" w:hAnsi="楷体" w:eastAsia="楷体" w:cs="楷体"/>
          <w:b w:val="0"/>
          <w:bCs/>
          <w:sz w:val="32"/>
          <w:szCs w:val="32"/>
          <w:shd w:val="clear" w:color="auto" w:fill="FFFFFF"/>
          <w:lang w:bidi="ar"/>
        </w:rPr>
        <w:t>（四）强化“党员先锋”工程。</w:t>
      </w:r>
      <w:r>
        <w:rPr>
          <w:rFonts w:hint="eastAsia" w:ascii="仿宋_GB2312" w:hAnsi="仿宋_GB2312" w:eastAsia="仿宋_GB2312" w:cs="仿宋_GB2312"/>
          <w:sz w:val="32"/>
          <w:szCs w:val="32"/>
        </w:rPr>
        <w:t>搭建党员发挥作用平台，全面推行党员“践诺争先”制度，在农村实行共产党员户挂牌、党员认领责任区、责任岗，开展党员志愿服务活动。加强典型选树，广泛宣传先进基层党组织、优秀共产党员的事迹，用身边事教育身边人，</w:t>
      </w:r>
      <w:r>
        <w:rPr>
          <w:rFonts w:hint="eastAsia" w:ascii="仿宋_GB2312" w:hAnsi="仿宋_GB2312" w:eastAsia="仿宋_GB2312" w:cs="仿宋_GB2312"/>
          <w:sz w:val="32"/>
          <w:szCs w:val="32"/>
          <w:shd w:val="clear" w:color="auto" w:fill="FFFFFF"/>
          <w:lang w:bidi="ar"/>
        </w:rPr>
        <w:t>激发党员队伍活力，</w:t>
      </w:r>
      <w:r>
        <w:rPr>
          <w:rFonts w:hint="eastAsia" w:ascii="仿宋_GB2312" w:hAnsi="仿宋_GB2312" w:eastAsia="仿宋_GB2312" w:cs="仿宋_GB2312"/>
          <w:sz w:val="32"/>
          <w:szCs w:val="32"/>
        </w:rPr>
        <w:t>营造创先争优、加快发展的良好氛围。</w:t>
      </w:r>
    </w:p>
    <w:p w14:paraId="7F6FCF7F">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1127" w:name="_Toc4029"/>
      <w:bookmarkStart w:id="1128" w:name="_Toc20570"/>
      <w:bookmarkStart w:id="1129" w:name="_Toc16342"/>
      <w:bookmarkStart w:id="1130" w:name="_Toc4000_WPSOffice_Level2"/>
      <w:bookmarkStart w:id="1131" w:name="_Toc6968"/>
      <w:bookmarkStart w:id="1132" w:name="_Toc9714"/>
      <w:bookmarkStart w:id="1133" w:name="_Toc11094"/>
      <w:bookmarkStart w:id="1134" w:name="_Toc26857"/>
      <w:bookmarkStart w:id="1135" w:name="_Toc6028"/>
      <w:bookmarkStart w:id="1136" w:name="_Toc13095"/>
      <w:bookmarkStart w:id="1137" w:name="_Toc8403"/>
      <w:bookmarkStart w:id="1138" w:name="_Toc21061"/>
      <w:bookmarkStart w:id="1139" w:name="_Toc88821330"/>
      <w:bookmarkStart w:id="1140" w:name="_Toc24524"/>
      <w:bookmarkStart w:id="1141" w:name="_Toc104110360"/>
      <w:bookmarkStart w:id="1142" w:name="_Toc18054"/>
      <w:bookmarkStart w:id="1143" w:name="_Toc12251"/>
      <w:bookmarkStart w:id="1144" w:name="_Toc18583"/>
      <w:bookmarkStart w:id="1145" w:name="_Toc122078304"/>
      <w:bookmarkStart w:id="1146" w:name="_Toc16989"/>
      <w:bookmarkStart w:id="1147" w:name="_Toc32002"/>
      <w:bookmarkStart w:id="1148" w:name="_Toc10641"/>
      <w:bookmarkStart w:id="1149" w:name="_Toc5545"/>
      <w:bookmarkStart w:id="1150" w:name="_Toc7538"/>
      <w:bookmarkStart w:id="1151" w:name="_Toc6286"/>
      <w:bookmarkStart w:id="1152" w:name="_Toc1101229928_WPSOffice_Level2"/>
      <w:r>
        <w:rPr>
          <w:rFonts w:hint="eastAsia" w:ascii="黑体" w:hAnsi="黑体" w:eastAsia="黑体" w:cs="黑体"/>
          <w:b w:val="0"/>
          <w:bCs/>
          <w:sz w:val="32"/>
          <w:szCs w:val="32"/>
        </w:rPr>
        <w:t>三、加强精神文明建设</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16F94EFA">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shd w:val="clear" w:color="auto" w:fill="FFFFFF"/>
        </w:rPr>
        <w:t>（一）引导移风易俗。</w:t>
      </w:r>
      <w:r>
        <w:rPr>
          <w:rFonts w:hint="eastAsia" w:ascii="仿宋_GB2312" w:hAnsi="仿宋_GB2312" w:eastAsia="仿宋_GB2312" w:cs="仿宋_GB2312"/>
          <w:sz w:val="32"/>
          <w:szCs w:val="32"/>
        </w:rPr>
        <w:t>传播社会主义核心价值观、引领中华传统优良道德风尚，推动形成宁河文明乡风。以天津市民《文明公约》《行为守则》和《天津市文明行为促进条例》为依据，完善落实“村规民约”，推进乡风文明建设，引导村民树立勤俭节约消费理念，拒绝人情攀比，简化操办红白喜事，结合清明节、端午节等传统节日，引导网上祭扫、文明祭扫活动。</w:t>
      </w:r>
    </w:p>
    <w:p w14:paraId="7B748581">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rPr>
        <w:t>（二）形成新时代文明乡风。</w:t>
      </w:r>
      <w:r>
        <w:rPr>
          <w:rFonts w:hint="eastAsia" w:ascii="仿宋_GB2312" w:hAnsi="仿宋_GB2312" w:eastAsia="仿宋_GB2312" w:cs="仿宋_GB2312"/>
          <w:sz w:val="32"/>
          <w:szCs w:val="32"/>
        </w:rPr>
        <w:t>以党建引领乡风文明，革除陈规陋习，培育时代新风。树立模范典型，发扬忠孝传家为德治注入社会活力，培育和践行社会主义核心价值观、推进公民道德建设。</w:t>
      </w:r>
    </w:p>
    <w:p w14:paraId="23A2AF04">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1.推动新时代文明实践所（站）全覆盖建设工作。</w:t>
      </w:r>
      <w:r>
        <w:rPr>
          <w:rFonts w:hint="eastAsia" w:ascii="仿宋_GB2312" w:hAnsi="仿宋_GB2312" w:eastAsia="仿宋_GB2312" w:cs="仿宋_GB2312"/>
          <w:sz w:val="32"/>
          <w:szCs w:val="32"/>
        </w:rPr>
        <w:t>在全区15个街镇、262个村（含社区）完成新时代文明实践所（站）建设任务。引导文明实践活动广泛开展，促进实践中心成为农民群众学习传播科学理论的大众平台、加强基层思想政治工作的坚强阵地、培育时代新人和弘扬时代新风的精神家园、开展中国特色志愿服务的广阔舞台。</w:t>
      </w:r>
    </w:p>
    <w:p w14:paraId="5D74BEE6">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2.常态化开展道德模范先进人物评选活动。</w:t>
      </w:r>
      <w:r>
        <w:rPr>
          <w:rFonts w:hint="eastAsia" w:ascii="仿宋_GB2312" w:hAnsi="仿宋_GB2312" w:eastAsia="仿宋_GB2312" w:cs="仿宋_GB2312"/>
          <w:sz w:val="32"/>
          <w:szCs w:val="32"/>
        </w:rPr>
        <w:t>常态化推评“宁河好人”，积极推荐“天津好人”候选人，在全社会营造出崇德向善的浓厚氛围，引领文明风尚。</w:t>
      </w:r>
    </w:p>
    <w:p w14:paraId="756B6643">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3.组建新时代文明实践志愿服务队伍。</w:t>
      </w:r>
      <w:r>
        <w:rPr>
          <w:rFonts w:hint="eastAsia" w:ascii="仿宋_GB2312" w:hAnsi="仿宋_GB2312" w:eastAsia="仿宋_GB2312" w:cs="仿宋_GB2312"/>
          <w:sz w:val="32"/>
          <w:szCs w:val="32"/>
        </w:rPr>
        <w:t>以新时代文明实践中心为载体，以志愿者为主体，以志愿服务为基本形式，健全文明实践志愿服务工作机制，推动文明实践志愿服务健康发展。</w:t>
      </w:r>
    </w:p>
    <w:p w14:paraId="73D05B62">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1153" w:name="_Toc2863"/>
      <w:bookmarkStart w:id="1154" w:name="_Toc16193"/>
      <w:bookmarkStart w:id="1155" w:name="_Toc28810"/>
      <w:bookmarkStart w:id="1156" w:name="_Toc25263"/>
      <w:bookmarkStart w:id="1157" w:name="_Toc122078305"/>
      <w:bookmarkStart w:id="1158" w:name="_Toc32712"/>
      <w:bookmarkStart w:id="1159" w:name="_Toc6227"/>
      <w:bookmarkStart w:id="1160" w:name="_Toc23342"/>
      <w:bookmarkStart w:id="1161" w:name="_Toc26763"/>
      <w:bookmarkStart w:id="1162" w:name="_Toc3640_WPSOffice_Level2"/>
      <w:bookmarkStart w:id="1163" w:name="_Toc2078704143_WPSOffice_Level2"/>
      <w:bookmarkStart w:id="1164" w:name="_Toc2035"/>
      <w:bookmarkStart w:id="1165" w:name="_Toc3596"/>
      <w:bookmarkStart w:id="1166" w:name="_Toc29596"/>
      <w:bookmarkStart w:id="1167" w:name="_Toc23098"/>
      <w:bookmarkStart w:id="1168" w:name="_Toc3657"/>
      <w:bookmarkStart w:id="1169" w:name="_Toc1942"/>
      <w:bookmarkStart w:id="1170" w:name="_Toc12832"/>
      <w:bookmarkStart w:id="1171" w:name="_Toc88821331"/>
      <w:bookmarkStart w:id="1172" w:name="_Toc4875"/>
      <w:bookmarkStart w:id="1173" w:name="_Toc5501"/>
      <w:bookmarkStart w:id="1174" w:name="_Toc19416"/>
      <w:bookmarkStart w:id="1175" w:name="_Toc27910"/>
      <w:bookmarkStart w:id="1176" w:name="_Toc1672"/>
      <w:bookmarkStart w:id="1177" w:name="_Toc12665"/>
      <w:bookmarkStart w:id="1178" w:name="_Toc104110361"/>
      <w:r>
        <w:rPr>
          <w:rFonts w:hint="eastAsia" w:ascii="黑体" w:hAnsi="黑体" w:eastAsia="黑体" w:cs="黑体"/>
          <w:b w:val="0"/>
          <w:bCs/>
          <w:sz w:val="32"/>
          <w:szCs w:val="32"/>
        </w:rPr>
        <w:t>四、深化基层平安建设</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14:paraId="2A984DAA">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shd w:val="clear" w:color="auto" w:fill="FFFFFF"/>
          <w:lang w:bidi="ar"/>
        </w:rPr>
        <w:t>（一）广泛开展基层干部群众法治宣传教育。</w:t>
      </w:r>
      <w:r>
        <w:rPr>
          <w:rFonts w:hint="eastAsia" w:ascii="仿宋_GB2312" w:hAnsi="仿宋_GB2312" w:eastAsia="仿宋_GB2312" w:cs="仿宋_GB2312"/>
          <w:sz w:val="32"/>
          <w:szCs w:val="32"/>
        </w:rPr>
        <w:t>加强基层组织负责人学法用法工作，开展村 “两委”干部法治培训，提高基层干部依法办事意识和依法治理能力。实施乡村 “法律明白人”培养工程，分批分步骤</w:t>
      </w:r>
      <w:r>
        <w:rPr>
          <w:rFonts w:hint="eastAsia" w:ascii="仿宋_GB2312" w:hAnsi="仿宋_GB2312" w:eastAsia="仿宋_GB2312" w:cs="仿宋_GB2312"/>
          <w:sz w:val="32"/>
          <w:szCs w:val="32"/>
          <w:lang w:val="zh-CN"/>
        </w:rPr>
        <w:t>培养乡村 “法律明白人”和“法治带头人”，实行动态管理，提升村民自我管理、自我教育、自我服务、自我监督的能力和水平。</w:t>
      </w:r>
      <w:r>
        <w:rPr>
          <w:rFonts w:hint="eastAsia" w:ascii="仿宋_GB2312" w:hAnsi="仿宋_GB2312" w:eastAsia="仿宋_GB2312" w:cs="仿宋_GB2312"/>
          <w:sz w:val="32"/>
          <w:szCs w:val="32"/>
        </w:rPr>
        <w:t>加强村民法治宣传教育，采取群众乐于参与、便于参与的方式，宣传与群众生产生活密切相关的法律法规，增强基层群众法治观念。</w:t>
      </w:r>
      <w:r>
        <w:rPr>
          <w:rFonts w:hint="eastAsia" w:ascii="仿宋_GB2312" w:hAnsi="仿宋_GB2312" w:eastAsia="仿宋_GB2312" w:cs="仿宋_GB2312"/>
          <w:sz w:val="32"/>
          <w:szCs w:val="32"/>
          <w:lang w:val="zh-TW"/>
        </w:rPr>
        <w:t>有效发挥属地、职能部门及公共法律服务资源力量，根据妇女、残疾人、老年人、农民工等群体特点，开展有针对性的法治宣传教育活动，提高依法维护权益的意识和能力。</w:t>
      </w:r>
    </w:p>
    <w:p w14:paraId="0F52766B">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shd w:val="clear" w:color="auto" w:fill="FFFFFF"/>
          <w:lang w:bidi="ar"/>
        </w:rPr>
        <w:t>（二）深入推进法治乡村建设。</w:t>
      </w:r>
      <w:r>
        <w:rPr>
          <w:rFonts w:hint="eastAsia" w:ascii="仿宋_GB2312" w:hAnsi="仿宋_GB2312" w:eastAsia="仿宋_GB2312" w:cs="仿宋_GB2312"/>
          <w:bCs/>
          <w:sz w:val="32"/>
          <w:szCs w:val="32"/>
        </w:rPr>
        <w:t>深入推进法治乡村建设，加大乡村普法力度，</w:t>
      </w:r>
      <w:r>
        <w:rPr>
          <w:rFonts w:hint="eastAsia" w:ascii="仿宋_GB2312" w:hAnsi="仿宋_GB2312" w:eastAsia="仿宋_GB2312" w:cs="仿宋_GB2312"/>
          <w:bCs/>
          <w:sz w:val="32"/>
          <w:szCs w:val="32"/>
          <w:lang w:val="zh-TW"/>
        </w:rPr>
        <w:t>深化“民主法治示范村”创建，强化动态管理，提高创建质量，</w:t>
      </w:r>
      <w:r>
        <w:rPr>
          <w:rFonts w:hint="eastAsia" w:ascii="仿宋_GB2312" w:hAnsi="仿宋_GB2312" w:eastAsia="仿宋_GB2312" w:cs="仿宋_GB2312"/>
          <w:bCs/>
          <w:sz w:val="32"/>
          <w:szCs w:val="32"/>
        </w:rPr>
        <w:t>稳步实施智能终端全覆盖。</w:t>
      </w:r>
      <w:r>
        <w:rPr>
          <w:rFonts w:hint="eastAsia" w:ascii="仿宋_GB2312" w:hAnsi="仿宋_GB2312" w:eastAsia="仿宋_GB2312" w:cs="仿宋_GB2312"/>
          <w:bCs/>
          <w:sz w:val="32"/>
          <w:szCs w:val="32"/>
          <w:lang w:val="zh-CN"/>
        </w:rPr>
        <w:t>开展面向家庭的普法主题实践活动，培育农村学法用法示范户，注重发挥家庭家教家风在基层社会治理中的重要作用。</w:t>
      </w:r>
      <w:r>
        <w:rPr>
          <w:rFonts w:hint="eastAsia" w:ascii="仿宋_GB2312" w:hAnsi="仿宋_GB2312" w:eastAsia="仿宋_GB2312" w:cs="仿宋_GB2312"/>
          <w:bCs/>
          <w:sz w:val="32"/>
          <w:szCs w:val="32"/>
          <w:lang w:val="zh-TW"/>
        </w:rPr>
        <w:t>将法治元素融入文明村镇、文明家庭、青少年零犯罪零受害村等各类创建活动，促进法治建设成果共建共享。</w:t>
      </w:r>
      <w:r>
        <w:rPr>
          <w:rFonts w:hint="eastAsia" w:ascii="仿宋_GB2312" w:hAnsi="仿宋_GB2312" w:eastAsia="仿宋_GB2312" w:cs="仿宋_GB2312"/>
          <w:bCs/>
          <w:sz w:val="32"/>
          <w:szCs w:val="32"/>
        </w:rPr>
        <w:t>因地制宜推广村民评理说事点、村法律工作室等做法，打造基层普法和依法治理有效阵地。</w:t>
      </w:r>
      <w:r>
        <w:rPr>
          <w:rFonts w:hint="eastAsia" w:ascii="仿宋_GB2312" w:hAnsi="仿宋_GB2312" w:eastAsia="仿宋_GB2312" w:cs="仿宋_GB2312"/>
          <w:sz w:val="32"/>
          <w:szCs w:val="32"/>
        </w:rPr>
        <w:t>加大以案普法、以案释法力度。</w:t>
      </w:r>
    </w:p>
    <w:p w14:paraId="34E4E7DA">
      <w:pPr>
        <w:pStyle w:val="7"/>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bCs/>
          <w:sz w:val="32"/>
          <w:szCs w:val="32"/>
          <w:lang w:val="zh-TW"/>
        </w:rPr>
      </w:pPr>
      <w:r>
        <w:rPr>
          <w:rFonts w:hint="eastAsia" w:ascii="楷体" w:hAnsi="楷体" w:eastAsia="楷体" w:cs="楷体"/>
          <w:b w:val="0"/>
          <w:bCs/>
          <w:sz w:val="32"/>
          <w:szCs w:val="32"/>
          <w:lang w:val="zh-TW"/>
        </w:rPr>
        <w:t>（三）加强矛盾纠纷调处。</w:t>
      </w:r>
      <w:r>
        <w:rPr>
          <w:rFonts w:hint="eastAsia" w:ascii="仿宋_GB2312" w:hAnsi="仿宋_GB2312" w:eastAsia="仿宋_GB2312" w:cs="仿宋_GB2312"/>
          <w:bCs/>
          <w:sz w:val="32"/>
          <w:szCs w:val="32"/>
          <w:lang w:val="zh-TW"/>
        </w:rPr>
        <w:t>深化矛盾纠纷排查化解“双百行动”，提升区镇村三级矛盾纠纷调处化解中心建设水平。整合红色网格员、平安志愿者、治安巡逻队、人民调解员四支队伍及社会各界群防群治力量，深入排查安全隐患、化解矛盾纠纷，有效预防减少影响安全稳定的案事件。</w:t>
      </w:r>
    </w:p>
    <w:p w14:paraId="15959F0F">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shd w:val="clear" w:color="auto" w:fill="FFFFFF"/>
          <w:lang w:val="en" w:bidi="ar"/>
        </w:rPr>
        <w:t>（四）推进公共法律服务工作。</w:t>
      </w:r>
      <w:r>
        <w:rPr>
          <w:rFonts w:hint="eastAsia" w:ascii="仿宋_GB2312" w:hAnsi="仿宋_GB2312" w:eastAsia="仿宋_GB2312" w:cs="仿宋_GB2312"/>
          <w:sz w:val="32"/>
          <w:szCs w:val="32"/>
        </w:rPr>
        <w:t>扎实推进村居法律顾问全覆盖工作，聘请律师开展村居法律顾问服务，实现区内村居专业法律服务全覆盖。</w:t>
      </w:r>
    </w:p>
    <w:p w14:paraId="01A77CB7">
      <w:pPr>
        <w:pStyle w:val="7"/>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shd w:val="clear" w:color="auto" w:fill="FFFFFF"/>
          <w:lang w:val="en" w:bidi="ar"/>
        </w:rPr>
        <w:t>（五）深化平安创建。</w:t>
      </w:r>
      <w:r>
        <w:rPr>
          <w:rFonts w:hint="eastAsia" w:ascii="仿宋_GB2312" w:hAnsi="仿宋_GB2312" w:eastAsia="仿宋_GB2312" w:cs="仿宋_GB2312"/>
          <w:sz w:val="32"/>
          <w:szCs w:val="32"/>
        </w:rPr>
        <w:t>加强重点领域、重点行业、重点人员安全管理，进一步强化依法治区、反邪教、信访等工作，构建网格化管理、精细化服务、信息化支撑、开放共享的基层管理服务平台</w:t>
      </w:r>
      <w:r>
        <w:rPr>
          <w:rFonts w:hint="eastAsia" w:ascii="仿宋_GB2312" w:hAnsi="仿宋_GB2312" w:eastAsia="仿宋_GB2312" w:cs="仿宋_GB2312"/>
          <w:sz w:val="32"/>
          <w:szCs w:val="32"/>
          <w:shd w:val="clear" w:color="auto" w:fill="FFFFFF"/>
          <w:lang w:val="en" w:bidi="ar"/>
        </w:rPr>
        <w:t>，构建基层社会治理新格局</w:t>
      </w:r>
      <w:r>
        <w:rPr>
          <w:rFonts w:hint="eastAsia" w:ascii="仿宋_GB2312" w:hAnsi="仿宋_GB2312" w:eastAsia="仿宋_GB2312" w:cs="仿宋_GB2312"/>
          <w:sz w:val="32"/>
          <w:szCs w:val="32"/>
        </w:rPr>
        <w:t>。</w:t>
      </w:r>
    </w:p>
    <w:p w14:paraId="7F1578CB">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1179" w:name="_Toc5304"/>
      <w:bookmarkStart w:id="1180" w:name="_Toc11855"/>
      <w:bookmarkStart w:id="1181" w:name="_Toc226513388_WPSOffice_Level2"/>
      <w:bookmarkStart w:id="1182" w:name="_Toc28706"/>
      <w:bookmarkStart w:id="1183" w:name="_Toc11398"/>
      <w:bookmarkStart w:id="1184" w:name="_Toc24732"/>
      <w:bookmarkStart w:id="1185" w:name="_Toc4680_WPSOffice_Level2"/>
      <w:bookmarkStart w:id="1186" w:name="_Toc15228"/>
      <w:bookmarkStart w:id="1187" w:name="_Toc31799"/>
      <w:bookmarkStart w:id="1188" w:name="_Toc1506"/>
      <w:bookmarkStart w:id="1189" w:name="_Toc21090"/>
      <w:bookmarkStart w:id="1190" w:name="_Toc22455"/>
      <w:bookmarkStart w:id="1191" w:name="_Toc8021"/>
      <w:bookmarkStart w:id="1192" w:name="_Toc11748"/>
      <w:bookmarkStart w:id="1193" w:name="_Toc21343"/>
      <w:bookmarkStart w:id="1194" w:name="_Toc14540"/>
      <w:bookmarkStart w:id="1195" w:name="_Toc11499"/>
      <w:bookmarkStart w:id="1196" w:name="_Toc11367"/>
      <w:bookmarkStart w:id="1197" w:name="_Toc27466"/>
      <w:bookmarkStart w:id="1198" w:name="_Toc122078306"/>
      <w:bookmarkStart w:id="1199" w:name="_Toc104110362"/>
      <w:bookmarkStart w:id="1200" w:name="_Toc20259"/>
      <w:bookmarkStart w:id="1201" w:name="_Toc2621"/>
      <w:bookmarkStart w:id="1202" w:name="_Toc24227"/>
      <w:r>
        <w:rPr>
          <w:rFonts w:hint="eastAsia" w:ascii="黑体" w:hAnsi="黑体" w:eastAsia="黑体" w:cs="黑体"/>
          <w:b w:val="0"/>
          <w:bCs/>
          <w:sz w:val="32"/>
          <w:szCs w:val="32"/>
        </w:rPr>
        <w:t>五、推进数字乡村建设</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14:paraId="1E7FE590">
      <w:pPr>
        <w:pageBreakBefore w:val="0"/>
        <w:kinsoku/>
        <w:wordWrap/>
        <w:topLinePunct w:val="0"/>
        <w:autoSpaceDE/>
        <w:autoSpaceDN/>
        <w:bidi w:val="0"/>
        <w:spacing w:line="560" w:lineRule="exact"/>
        <w:ind w:firstLine="64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积极探索智能化、网格化、精准化社会治理新路径，打造完善“三农”大数据中心，以“数字网格”智能协同系统为突破点，进一步提升基础网格信息化、智能化、标准化水平，实现全区实时基础数据信息互联互通、开放共享，激活网格化服务管理数据“细胞”，搭建网格化智能视频监控平台，建立智慧档案，配强专职网格队伍，实现村民户籍网格、职能网格、居住网格多维度重建，为村民建立全方位的“电子档案”，实现乡村治理“一键可知”、村中情况“心中有数”，有效提升乡村治理智能协同协调能力，开启乡村治理的“智治”新模式。积极推进农村寄递物流体系建设，达到村村有标准化快递服务站。</w:t>
      </w:r>
    </w:p>
    <w:p w14:paraId="576F7A76">
      <w:pPr>
        <w:pStyle w:val="3"/>
        <w:pageBreakBefore w:val="0"/>
        <w:kinsoku/>
        <w:wordWrap/>
        <w:topLinePunct w:val="0"/>
        <w:autoSpaceDE/>
        <w:autoSpaceDN/>
        <w:bidi w:val="0"/>
        <w:spacing w:line="560" w:lineRule="exact"/>
        <w:rPr>
          <w:rFonts w:hint="eastAsia" w:ascii="黑体" w:hAnsi="黑体" w:eastAsia="黑体" w:cs="黑体"/>
          <w:sz w:val="32"/>
          <w:szCs w:val="32"/>
        </w:rPr>
      </w:pPr>
      <w:bookmarkStart w:id="1203" w:name="_Toc16243"/>
      <w:bookmarkStart w:id="1204" w:name="_Toc104110363"/>
      <w:bookmarkStart w:id="1205" w:name="_Toc27214"/>
      <w:bookmarkStart w:id="1206" w:name="_Toc20419"/>
      <w:bookmarkStart w:id="1207" w:name="_Toc11788"/>
      <w:bookmarkStart w:id="1208" w:name="_Toc17271"/>
      <w:bookmarkStart w:id="1209" w:name="_Toc4610_WPSOffice_Level1"/>
      <w:bookmarkStart w:id="1210" w:name="_Toc4140"/>
      <w:bookmarkStart w:id="1211" w:name="_Toc20735"/>
      <w:bookmarkStart w:id="1212" w:name="_Toc561"/>
      <w:bookmarkStart w:id="1213" w:name="_Toc19992"/>
      <w:bookmarkStart w:id="1214" w:name="_Toc19990"/>
      <w:bookmarkStart w:id="1215" w:name="_Toc15675"/>
      <w:bookmarkStart w:id="1216" w:name="_Toc18926"/>
      <w:bookmarkStart w:id="1217" w:name="_Toc88821333"/>
      <w:bookmarkStart w:id="1218" w:name="_Toc18029"/>
      <w:bookmarkStart w:id="1219" w:name="_Toc16038"/>
      <w:bookmarkStart w:id="1220" w:name="_Toc15202"/>
      <w:bookmarkStart w:id="1221" w:name="_Toc122078307"/>
      <w:bookmarkStart w:id="1222" w:name="_Toc10649"/>
      <w:bookmarkStart w:id="1223" w:name="_Toc10161"/>
      <w:bookmarkStart w:id="1224" w:name="_Toc12125"/>
      <w:bookmarkStart w:id="1225" w:name="_Toc12374"/>
      <w:bookmarkStart w:id="1226" w:name="_Toc21074"/>
      <w:bookmarkStart w:id="1227" w:name="_Toc21971"/>
      <w:bookmarkStart w:id="1228" w:name="_Toc414078064_WPSOffice_Level1"/>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拓展增收</w:t>
      </w:r>
      <w:r>
        <w:rPr>
          <w:rFonts w:hint="eastAsia" w:ascii="黑体" w:hAnsi="黑体" w:eastAsia="黑体" w:cs="黑体"/>
          <w:sz w:val="32"/>
          <w:szCs w:val="32"/>
          <w:lang w:eastAsia="zh-CN"/>
        </w:rPr>
        <w:t>渠道</w:t>
      </w:r>
      <w:r>
        <w:rPr>
          <w:rFonts w:hint="eastAsia" w:ascii="黑体" w:hAnsi="黑体" w:eastAsia="黑体" w:cs="黑体"/>
          <w:sz w:val="32"/>
          <w:szCs w:val="32"/>
        </w:rPr>
        <w:t>，</w:t>
      </w:r>
      <w:r>
        <w:rPr>
          <w:rFonts w:hint="eastAsia" w:ascii="黑体" w:hAnsi="黑体" w:eastAsia="黑体" w:cs="黑体"/>
          <w:sz w:val="32"/>
          <w:szCs w:val="32"/>
          <w:lang w:eastAsia="zh-CN"/>
        </w:rPr>
        <w:t>实现农民</w:t>
      </w:r>
      <w:r>
        <w:rPr>
          <w:rFonts w:hint="eastAsia" w:ascii="黑体" w:hAnsi="黑体" w:eastAsia="黑体" w:cs="黑体"/>
          <w:sz w:val="32"/>
          <w:szCs w:val="32"/>
        </w:rPr>
        <w:t>共</w:t>
      </w:r>
      <w:r>
        <w:rPr>
          <w:rFonts w:hint="eastAsia" w:ascii="黑体" w:hAnsi="黑体" w:eastAsia="黑体" w:cs="黑体"/>
          <w:sz w:val="32"/>
          <w:szCs w:val="32"/>
          <w:lang w:eastAsia="zh-CN"/>
        </w:rPr>
        <w:t>同</w:t>
      </w:r>
      <w:r>
        <w:rPr>
          <w:rFonts w:hint="eastAsia" w:ascii="黑体" w:hAnsi="黑体" w:eastAsia="黑体" w:cs="黑体"/>
          <w:sz w:val="32"/>
          <w:szCs w:val="32"/>
        </w:rPr>
        <w:t>富裕</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14:paraId="459284A5">
      <w:pPr>
        <w:pageBreakBefore w:val="0"/>
        <w:kinsoku/>
        <w:wordWrap/>
        <w:topLinePunct w:val="0"/>
        <w:autoSpaceDE/>
        <w:autoSpaceDN/>
        <w:bidi w:val="0"/>
        <w:spacing w:line="560" w:lineRule="exact"/>
        <w:ind w:firstLine="640"/>
        <w:rPr>
          <w:rFonts w:hint="eastAsia" w:ascii="仿宋_GB2312" w:hAnsi="仿宋_GB2312" w:eastAsia="仿宋_GB2312" w:cs="仿宋_GB2312"/>
          <w:sz w:val="32"/>
          <w:szCs w:val="32"/>
          <w:lang w:eastAsia="ja-JP"/>
        </w:rPr>
      </w:pPr>
      <w:r>
        <w:rPr>
          <w:rFonts w:hint="eastAsia" w:ascii="仿宋_GB2312" w:hAnsi="仿宋_GB2312" w:eastAsia="仿宋_GB2312" w:cs="仿宋_GB2312"/>
          <w:sz w:val="32"/>
          <w:szCs w:val="32"/>
          <w:lang w:val="en"/>
        </w:rPr>
        <w:t>坚持</w:t>
      </w:r>
      <w:r>
        <w:rPr>
          <w:rFonts w:hint="eastAsia" w:ascii="仿宋_GB2312" w:hAnsi="仿宋_GB2312" w:eastAsia="仿宋_GB2312" w:cs="仿宋_GB2312"/>
          <w:sz w:val="32"/>
          <w:szCs w:val="32"/>
          <w:lang w:val="en" w:eastAsia="ja-JP"/>
        </w:rPr>
        <w:t>以人民为中心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ja-JP"/>
        </w:rPr>
        <w:t>引导农民走共同富裕的道路，不断提高农民收入水平，是</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十四五</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期间宁河农业农村发展的最终目标，也是宁河</w:t>
      </w:r>
      <w:r>
        <w:rPr>
          <w:rFonts w:hint="eastAsia" w:ascii="仿宋_GB2312" w:hAnsi="仿宋_GB2312" w:eastAsia="仿宋_GB2312" w:cs="仿宋_GB2312"/>
          <w:sz w:val="32"/>
          <w:szCs w:val="32"/>
          <w:lang w:val="en" w:eastAsia="ja-JP"/>
        </w:rPr>
        <w:t>乡村振兴</w:t>
      </w:r>
      <w:r>
        <w:rPr>
          <w:rFonts w:hint="eastAsia" w:ascii="仿宋_GB2312" w:hAnsi="仿宋_GB2312" w:eastAsia="仿宋_GB2312" w:cs="仿宋_GB2312"/>
          <w:sz w:val="32"/>
          <w:szCs w:val="32"/>
          <w:lang w:val="en"/>
        </w:rPr>
        <w:t>的</w:t>
      </w:r>
      <w:r>
        <w:rPr>
          <w:rFonts w:hint="eastAsia" w:ascii="仿宋_GB2312" w:hAnsi="仿宋_GB2312" w:eastAsia="仿宋_GB2312" w:cs="仿宋_GB2312"/>
          <w:sz w:val="32"/>
          <w:szCs w:val="32"/>
          <w:lang w:val="en" w:eastAsia="ja-JP"/>
        </w:rPr>
        <w:t>必经之路</w:t>
      </w:r>
      <w:r>
        <w:rPr>
          <w:rFonts w:hint="eastAsia" w:ascii="仿宋_GB2312" w:hAnsi="仿宋_GB2312" w:eastAsia="仿宋_GB2312" w:cs="仿宋_GB2312"/>
          <w:sz w:val="32"/>
          <w:szCs w:val="32"/>
          <w:lang w:val="en"/>
        </w:rPr>
        <w:t>。</w:t>
      </w:r>
    </w:p>
    <w:p w14:paraId="107B8164">
      <w:pPr>
        <w:pStyle w:val="4"/>
        <w:pageBreakBefore w:val="0"/>
        <w:numPr>
          <w:ilvl w:val="0"/>
          <w:numId w:val="0"/>
        </w:numPr>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1229" w:name="_Toc32122"/>
      <w:bookmarkStart w:id="1230" w:name="_Toc15907"/>
      <w:bookmarkStart w:id="1231" w:name="_Toc104110364"/>
      <w:bookmarkStart w:id="1232" w:name="_Toc88821334"/>
      <w:bookmarkStart w:id="1233" w:name="_Toc23555_WPSOffice_Level2"/>
      <w:bookmarkStart w:id="1234" w:name="_Toc29164"/>
      <w:bookmarkStart w:id="1235" w:name="_Toc7749"/>
      <w:bookmarkStart w:id="1236" w:name="_Toc6638"/>
      <w:bookmarkStart w:id="1237" w:name="_Toc2656"/>
      <w:bookmarkStart w:id="1238" w:name="_Toc122078308"/>
      <w:bookmarkStart w:id="1239" w:name="_Toc11212"/>
      <w:bookmarkStart w:id="1240" w:name="_Toc8376"/>
      <w:bookmarkStart w:id="1241" w:name="_Toc7590"/>
      <w:bookmarkStart w:id="1242" w:name="_Toc6802"/>
      <w:bookmarkStart w:id="1243" w:name="_Toc30510"/>
      <w:bookmarkStart w:id="1244" w:name="_Toc13910"/>
      <w:bookmarkStart w:id="1245" w:name="_Toc28502"/>
      <w:bookmarkStart w:id="1246" w:name="_Toc6523"/>
      <w:bookmarkStart w:id="1247" w:name="_Toc13113"/>
      <w:bookmarkStart w:id="1248" w:name="_Toc22222"/>
      <w:bookmarkStart w:id="1249" w:name="_Toc29249"/>
      <w:bookmarkStart w:id="1250" w:name="_Toc263"/>
      <w:bookmarkStart w:id="1251" w:name="_Toc21558"/>
      <w:bookmarkStart w:id="1252" w:name="_Toc1349359338_WPSOffice_Level2"/>
      <w:bookmarkStart w:id="1253" w:name="_Toc28013"/>
      <w:bookmarkStart w:id="1254" w:name="_Toc9292"/>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深化农村改革</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14:paraId="4B03B92D">
      <w:pPr>
        <w:pageBreakBefore w:val="0"/>
        <w:numPr>
          <w:ilvl w:val="0"/>
          <w:numId w:val="0"/>
        </w:numPr>
        <w:kinsoku/>
        <w:wordWrap/>
        <w:topLinePunct w:val="0"/>
        <w:autoSpaceDE/>
        <w:autoSpaceDN/>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楷体" w:hAnsi="楷体" w:eastAsia="楷体" w:cs="楷体"/>
          <w:b w:val="0"/>
          <w:bCs/>
          <w:sz w:val="32"/>
          <w:szCs w:val="32"/>
          <w:lang w:val="en-US" w:eastAsia="zh-CN"/>
        </w:rPr>
        <w:t>（一） 激活农村集体资源资产要素。</w:t>
      </w:r>
      <w:r>
        <w:rPr>
          <w:rFonts w:hint="eastAsia" w:ascii="仿宋_GB2312" w:hAnsi="仿宋_GB2312" w:eastAsia="仿宋_GB2312" w:cs="仿宋_GB2312"/>
          <w:sz w:val="32"/>
          <w:szCs w:val="32"/>
          <w:lang w:val="en-US" w:eastAsia="zh-CN"/>
        </w:rPr>
        <w:t>坚持改革赋能和市场化专业运营，持续深化农村集体产权制度改革，不断发展壮大村级集体经济。优化村集体经济组织机构设置，健全农村集体经济发展带动成员增收的利益联结机制。在确保集体所有制性质不改变、集体资产不流失、成员权益不受损的前提下，支持村集体经济组织设立“强村富民公司”或“农业龙头企业”作为投融资平台和生产经营主体；规范引导村集体经济组织联合发展，通过成立“联村富民公司”等形式，将资源互补、产业相连的村集体经济组织联合起来，实现抱团发展；支持村集体经济组织适应发展需要设立公司、专业合作社等经营实体，吸引社会资本共同投资发展集体经济项目，设置兼顾内部成员和投资者、经营者的“交叉股权”。</w:t>
      </w:r>
    </w:p>
    <w:p w14:paraId="05133F1E">
      <w:pPr>
        <w:pageBreakBefore w:val="0"/>
        <w:numPr>
          <w:ilvl w:val="0"/>
          <w:numId w:val="0"/>
        </w:numPr>
        <w:kinsoku/>
        <w:wordWrap/>
        <w:topLinePunct w:val="0"/>
        <w:autoSpaceDE/>
        <w:autoSpaceDN/>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楷体" w:hAnsi="楷体" w:eastAsia="楷体" w:cs="楷体"/>
          <w:b w:val="0"/>
          <w:bCs/>
          <w:sz w:val="32"/>
          <w:szCs w:val="32"/>
          <w:lang w:val="en-US" w:eastAsia="zh-CN"/>
        </w:rPr>
        <w:t xml:space="preserve"> （二）用活用好集体建设用地政策。</w:t>
      </w:r>
      <w:r>
        <w:rPr>
          <w:rFonts w:hint="eastAsia" w:ascii="仿宋_GB2312" w:hAnsi="仿宋_GB2312" w:eastAsia="仿宋_GB2312" w:cs="仿宋_GB2312"/>
          <w:sz w:val="32"/>
          <w:szCs w:val="32"/>
          <w:lang w:val="en-US" w:eastAsia="zh-CN"/>
        </w:rPr>
        <w:t>依法将闲置的集体公益性建设用地转变为集体经营性建设用地，通过入市或合作联营等方式开发利用。优化集体资源资产配置。盘活闲置非经营性资产，将失去公益功能的闲置校舍、办公楼、设施等明确为村集体经营性资产，由村集体经济组织出租、自主经营或与相关市场主体合作经营。盘活闲置经营性资产，通过出租、转让等方式增加资产溢价性收入。</w:t>
      </w:r>
    </w:p>
    <w:p w14:paraId="476B7C8C">
      <w:pPr>
        <w:pageBreakBefore w:val="0"/>
        <w:numPr>
          <w:ilvl w:val="0"/>
          <w:numId w:val="0"/>
        </w:numPr>
        <w:kinsoku/>
        <w:wordWrap/>
        <w:topLinePunct w:val="0"/>
        <w:autoSpaceDE/>
        <w:autoSpaceDN/>
        <w:bidi w:val="0"/>
        <w:spacing w:line="560" w:lineRule="exact"/>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val="0"/>
          <w:bCs/>
          <w:sz w:val="32"/>
          <w:szCs w:val="32"/>
          <w:lang w:val="en-US" w:eastAsia="zh-CN"/>
        </w:rPr>
        <w:t>（三）集约利用农用地。</w:t>
      </w:r>
      <w:r>
        <w:rPr>
          <w:rFonts w:hint="eastAsia" w:ascii="仿宋_GB2312" w:hAnsi="仿宋_GB2312" w:eastAsia="仿宋_GB2312" w:cs="仿宋_GB2312"/>
          <w:sz w:val="32"/>
          <w:szCs w:val="32"/>
          <w:lang w:val="en-US" w:eastAsia="zh-CN"/>
        </w:rPr>
        <w:t>鼓励村集体经济组织统一流转农户土地经营权，整理提升后流转给新型农业经营主体或自主发展多种形式适度规模经营。鼓励发展以土地经营为主的股份合作，提高土地利用效率，增加集体和农民收入。创新土地承包方式，继续探索“确权确股”，稳妥开展土地延包。支持村集体经济组织发挥“统”的功能，发展农业社会化服务。</w:t>
      </w:r>
    </w:p>
    <w:p w14:paraId="575F9687">
      <w:pPr>
        <w:pageBreakBefore w:val="0"/>
        <w:numPr>
          <w:ilvl w:val="0"/>
          <w:numId w:val="0"/>
        </w:numPr>
        <w:kinsoku/>
        <w:wordWrap/>
        <w:topLinePunct w:val="0"/>
        <w:autoSpaceDE/>
        <w:autoSpaceDN/>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楷体" w:hAnsi="楷体" w:eastAsia="楷体" w:cs="楷体"/>
          <w:b w:val="0"/>
          <w:bCs/>
          <w:sz w:val="32"/>
          <w:szCs w:val="32"/>
          <w:lang w:val="en-US" w:eastAsia="zh-CN"/>
        </w:rPr>
        <w:t>（四）盘活闲置宅基地和闲置住宅。</w:t>
      </w:r>
      <w:r>
        <w:rPr>
          <w:rFonts w:hint="eastAsia" w:ascii="仿宋_GB2312" w:hAnsi="仿宋_GB2312" w:eastAsia="仿宋_GB2312" w:cs="仿宋_GB2312"/>
          <w:sz w:val="32"/>
          <w:szCs w:val="32"/>
          <w:lang w:val="en-US" w:eastAsia="zh-CN"/>
        </w:rPr>
        <w:t>发挥村集体经济组织在农村闲置宅基地和闲置住宅盘活利用中的组织、引导作用，集中整合本村闲置宅基地和闲置住宅资源，通过自营、出租、入股、合作等方式盘活，或通过拆旧整治统筹利用优先用于满足农民新增宅基地需求、村庄建设和产业发展。支持金融机构依法稳慎开展农村闲置宅基地和闲置住宅盘活利用相关金融产品和服务创新。引导返乡下乡创业人员与农民以签订租赁合同形式开展订单式建房，按照经营需要新建（翻建）住宅，合作打造民宿、康养等项目。</w:t>
      </w:r>
    </w:p>
    <w:p w14:paraId="794C5D44">
      <w:pPr>
        <w:pageBreakBefore w:val="0"/>
        <w:numPr>
          <w:ilvl w:val="0"/>
          <w:numId w:val="0"/>
        </w:numPr>
        <w:kinsoku/>
        <w:wordWrap/>
        <w:topLinePunct w:val="0"/>
        <w:autoSpaceDE/>
        <w:autoSpaceDN/>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楷体" w:hAnsi="楷体" w:eastAsia="楷体" w:cs="楷体"/>
          <w:b w:val="0"/>
          <w:bCs/>
          <w:sz w:val="32"/>
          <w:szCs w:val="32"/>
          <w:lang w:val="en-US" w:eastAsia="zh-CN"/>
        </w:rPr>
        <w:t>（五）实施“一村一业”和“品牌”强村。</w:t>
      </w:r>
      <w:r>
        <w:rPr>
          <w:rFonts w:hint="eastAsia" w:ascii="仿宋_GB2312" w:hAnsi="仿宋_GB2312" w:eastAsia="仿宋_GB2312" w:cs="仿宋_GB2312"/>
          <w:sz w:val="32"/>
          <w:szCs w:val="32"/>
          <w:lang w:val="en-US" w:eastAsia="zh-CN"/>
        </w:rPr>
        <w:t>按照乡村兴区发展路径、一一二二工作举措和12345工作思路，各村充分发挥本村人文、农耕、交通、生态等资源禀赋积极融入乡村兴区战略之中。发挥“种稻、种猪、种鱼、种蟹、种苗”以及其他农产品等资源优势，积极创建以村集体经济组织为主体的农产品“品牌”，以村集体为主挖掘本村“农耕”文化并不断创新，让品牌附能集体增收。</w:t>
      </w:r>
    </w:p>
    <w:p w14:paraId="1833B377">
      <w:pPr>
        <w:pageBreakBefore w:val="0"/>
        <w:kinsoku/>
        <w:wordWrap/>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lang w:val="en" w:eastAsia="ja-JP"/>
        </w:rPr>
      </w:pPr>
      <w:r>
        <w:rPr>
          <w:rFonts w:hint="eastAsia" w:ascii="楷体" w:hAnsi="楷体" w:eastAsia="楷体" w:cs="楷体"/>
          <w:b w:val="0"/>
          <w:bCs/>
          <w:sz w:val="32"/>
          <w:szCs w:val="32"/>
          <w:lang w:val="en" w:eastAsia="zh-CN"/>
        </w:rPr>
        <w:t>（六）</w:t>
      </w:r>
      <w:r>
        <w:rPr>
          <w:rFonts w:hint="eastAsia" w:ascii="楷体" w:hAnsi="楷体" w:eastAsia="楷体" w:cs="楷体"/>
          <w:b w:val="0"/>
          <w:bCs/>
          <w:sz w:val="32"/>
          <w:szCs w:val="32"/>
          <w:lang w:val="en" w:eastAsia="ja-JP"/>
        </w:rPr>
        <w:t>改革完善农村承包</w:t>
      </w:r>
      <w:r>
        <w:rPr>
          <w:rFonts w:hint="eastAsia" w:ascii="楷体" w:hAnsi="楷体" w:eastAsia="楷体" w:cs="楷体"/>
          <w:b w:val="0"/>
          <w:bCs/>
          <w:sz w:val="32"/>
          <w:szCs w:val="32"/>
          <w:lang w:val="en" w:eastAsia="zh-CN"/>
        </w:rPr>
        <w:t>土</w:t>
      </w:r>
      <w:r>
        <w:rPr>
          <w:rFonts w:hint="eastAsia" w:ascii="楷体" w:hAnsi="楷体" w:eastAsia="楷体" w:cs="楷体"/>
          <w:b w:val="0"/>
          <w:bCs/>
          <w:sz w:val="32"/>
          <w:szCs w:val="32"/>
          <w:lang w:val="en" w:eastAsia="ja-JP"/>
        </w:rPr>
        <w:t>地制度。</w:t>
      </w:r>
      <w:r>
        <w:rPr>
          <w:rFonts w:hint="eastAsia" w:ascii="仿宋_GB2312" w:hAnsi="仿宋_GB2312" w:eastAsia="仿宋_GB2312" w:cs="仿宋_GB2312"/>
          <w:sz w:val="32"/>
          <w:szCs w:val="32"/>
          <w:lang w:val="en" w:eastAsia="ja-JP"/>
        </w:rPr>
        <w:t>落实好第二轮土地承包到期后再延长30年的政策，加快培育农民合作社、家庭农场等新型农业经营主体，发展多种形式适度规模经营，实现小农户和现代农业有机衔接。探索承包地“三权分置”制度，落实宅基地集体所有权，保障宅基地农户资格权和农民房屋财产权，适度放活宅基地和农民房屋使用权，平等保护并进一步放活土地经营权，提高农业的社会化服务水平。处理好农民与集体经营性建设用地的关系，将土地产生收益纳入集体收益，保障集体成员的民主管理权和收益分配权；处理好农民与宅基地的关系，扩大农户依法取得的宅基地用益物权的权能，探索农民住房财产权抵押、担保、转让的有效途径。</w:t>
      </w:r>
    </w:p>
    <w:p w14:paraId="63AEC1FA">
      <w:pPr>
        <w:pageBreakBefore w:val="0"/>
        <w:widowControl w:val="0"/>
        <w:numPr>
          <w:ilvl w:val="0"/>
          <w:numId w:val="0"/>
        </w:numPr>
        <w:kinsoku/>
        <w:wordWrap/>
        <w:topLinePunct w:val="0"/>
        <w:autoSpaceDE/>
        <w:autoSpaceDN/>
        <w:bidi w:val="0"/>
        <w:spacing w:line="560" w:lineRule="exact"/>
        <w:ind w:firstLine="640"/>
        <w:jc w:val="both"/>
        <w:rPr>
          <w:rFonts w:hint="eastAsia" w:ascii="仿宋_GB2312" w:hAnsi="仿宋_GB2312" w:eastAsia="仿宋_GB2312" w:cs="仿宋_GB2312"/>
          <w:sz w:val="32"/>
          <w:szCs w:val="32"/>
          <w:lang w:val="en-US" w:eastAsia="zh-CN"/>
        </w:rPr>
      </w:pPr>
      <w:r>
        <w:rPr>
          <w:rFonts w:hint="eastAsia" w:ascii="楷体" w:hAnsi="楷体" w:eastAsia="楷体" w:cs="楷体"/>
          <w:b w:val="0"/>
          <w:bCs/>
          <w:sz w:val="32"/>
          <w:szCs w:val="32"/>
          <w:lang w:val="en-US" w:eastAsia="zh-CN"/>
        </w:rPr>
        <w:t>（七）推行宁河区农村职业经理人选育试点工作。</w:t>
      </w:r>
      <w:r>
        <w:rPr>
          <w:rFonts w:hint="eastAsia" w:ascii="仿宋_GB2312" w:hAnsi="仿宋_GB2312" w:eastAsia="仿宋_GB2312" w:cs="仿宋_GB2312"/>
          <w:sz w:val="32"/>
          <w:szCs w:val="32"/>
          <w:lang w:val="en-US" w:eastAsia="zh-CN"/>
        </w:rPr>
        <w:t>每年选取3个村作为试点，力争用三年，帮助我区符合条件的集体经济组织独资或控股企业（村属企业），招聘和培育一批高素质职业经理人，进一步提升农村人居环境、农文旅产业发展和村级集体资产运营管理能力，推动村集体经济发展。</w:t>
      </w:r>
    </w:p>
    <w:p w14:paraId="1965E6F7">
      <w:pPr>
        <w:pStyle w:val="4"/>
        <w:pageBreakBefore w:val="0"/>
        <w:numPr>
          <w:ilvl w:val="0"/>
          <w:numId w:val="0"/>
        </w:numPr>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1255" w:name="_Toc12175"/>
      <w:bookmarkStart w:id="1256" w:name="_Toc3175"/>
      <w:bookmarkStart w:id="1257" w:name="_Toc25022"/>
      <w:bookmarkStart w:id="1258" w:name="_Toc1420887937_WPSOffice_Level2"/>
      <w:bookmarkStart w:id="1259" w:name="_Toc31852"/>
      <w:bookmarkStart w:id="1260" w:name="_Toc104110365"/>
      <w:bookmarkStart w:id="1261" w:name="_Toc27360"/>
      <w:bookmarkStart w:id="1262" w:name="_Toc12491"/>
      <w:bookmarkStart w:id="1263" w:name="_Toc22149"/>
      <w:bookmarkStart w:id="1264" w:name="_Toc12035"/>
      <w:bookmarkStart w:id="1265" w:name="_Toc122078309"/>
      <w:bookmarkStart w:id="1266" w:name="_Toc27293"/>
      <w:bookmarkStart w:id="1267" w:name="_Toc2015"/>
      <w:bookmarkStart w:id="1268" w:name="_Toc17306"/>
      <w:bookmarkStart w:id="1269" w:name="_Toc17555"/>
      <w:bookmarkStart w:id="1270" w:name="_Toc3330"/>
      <w:bookmarkStart w:id="1271" w:name="_Toc15549_WPSOffice_Level2"/>
      <w:bookmarkStart w:id="1272" w:name="_Toc10704"/>
      <w:bookmarkStart w:id="1273" w:name="_Toc25036"/>
      <w:bookmarkStart w:id="1274" w:name="_Toc22678"/>
      <w:bookmarkStart w:id="1275" w:name="_Toc18574"/>
      <w:bookmarkStart w:id="1276" w:name="_Toc88821335"/>
      <w:bookmarkStart w:id="1277" w:name="_Toc9659"/>
      <w:bookmarkStart w:id="1278" w:name="_Toc32037"/>
      <w:bookmarkStart w:id="1279" w:name="_Toc31870"/>
      <w:bookmarkStart w:id="1280" w:name="_Toc17034"/>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促进农民增收</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14:paraId="4136442E">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rPr>
      </w:pPr>
      <w:r>
        <w:rPr>
          <w:rFonts w:hint="eastAsia" w:ascii="楷体" w:hAnsi="楷体" w:eastAsia="楷体" w:cs="楷体"/>
          <w:b w:val="0"/>
          <w:bCs/>
          <w:sz w:val="32"/>
          <w:szCs w:val="32"/>
          <w:lang w:val="en" w:eastAsia="zh-CN"/>
        </w:rPr>
        <w:t>（一）巩固拓展脱贫攻坚成果。</w:t>
      </w:r>
      <w:r>
        <w:rPr>
          <w:rFonts w:hint="eastAsia" w:ascii="仿宋_GB2312" w:hAnsi="仿宋_GB2312" w:eastAsia="仿宋_GB2312" w:cs="仿宋_GB2312"/>
          <w:sz w:val="32"/>
          <w:szCs w:val="32"/>
        </w:rPr>
        <w:t>持续加大政策、资金、人才、体制机制扶持力度，进一步整合资源，将财政、土地、用电、金融、税收、交通、保险等政策向经济薄弱村倾斜，同等情况下优先支持经济薄弱村产业发展；按照市级资金安排，三年安排扶持发展补助资金5100万元；搭建经济薄弱村创业创新平台，支持返乡农民工、退役士兵、大中专学生等人员到村庄创业创新；充分发挥市区两级单位力量，对现有51个经济薄弱村对口帮扶，实现由困难村帮扶到经济薄弱村帮扶的无缝衔接，巩固前期宁河脱贫攻坚成果。</w:t>
      </w:r>
    </w:p>
    <w:p w14:paraId="0E760BD4">
      <w:pPr>
        <w:pStyle w:val="7"/>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lang w:val="en"/>
        </w:rPr>
      </w:pPr>
      <w:r>
        <w:rPr>
          <w:rFonts w:hint="eastAsia" w:ascii="楷体" w:hAnsi="楷体" w:eastAsia="楷体" w:cs="楷体"/>
          <w:b w:val="0"/>
          <w:bCs/>
          <w:kern w:val="2"/>
          <w:sz w:val="32"/>
          <w:szCs w:val="32"/>
          <w:lang w:val="en" w:eastAsia="zh-CN" w:bidi="ar-SA"/>
        </w:rPr>
        <w:t>（二）多层次城乡区域分工合作。</w:t>
      </w:r>
      <w:r>
        <w:rPr>
          <w:rFonts w:hint="eastAsia" w:ascii="仿宋_GB2312" w:hAnsi="仿宋_GB2312" w:eastAsia="仿宋_GB2312" w:cs="仿宋_GB2312"/>
          <w:sz w:val="32"/>
          <w:szCs w:val="32"/>
          <w:lang w:val="en"/>
        </w:rPr>
        <w:t>促进城乡产业协同发展，以镇带村、以村促镇，推动镇村联动发展。将小农户生产逐步融入区域性产业链和生产网络。引导农产品加工等相关产业向小城镇、产业园区适度集中，逐步形成带动小农户生产的现代农业产业集群。依托城郊人口集中、交通便利、工商业较发达等优势，发挥双向接转和辐射功能，带动高端农业发展。持续增加农民收入，让农民群众获得感更加充实、幸福感更有保障、安全感更可持续。</w:t>
      </w:r>
    </w:p>
    <w:p w14:paraId="432C3CF1">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1281" w:name="_Toc9400"/>
      <w:bookmarkStart w:id="1282" w:name="_Toc6207"/>
      <w:bookmarkStart w:id="1283" w:name="_Toc695"/>
      <w:bookmarkStart w:id="1284" w:name="_Toc26917"/>
      <w:bookmarkStart w:id="1285" w:name="_Toc5560"/>
      <w:bookmarkStart w:id="1286" w:name="_Toc13823"/>
      <w:bookmarkStart w:id="1287" w:name="_Toc88821336"/>
      <w:bookmarkStart w:id="1288" w:name="_Toc13160"/>
      <w:bookmarkStart w:id="1289" w:name="_Toc14677"/>
      <w:bookmarkStart w:id="1290" w:name="_Toc23676"/>
      <w:bookmarkStart w:id="1291" w:name="_Toc20675"/>
      <w:bookmarkStart w:id="1292" w:name="_Toc21967"/>
      <w:bookmarkStart w:id="1293" w:name="_Toc30188"/>
      <w:bookmarkStart w:id="1294" w:name="_Toc13278"/>
      <w:bookmarkStart w:id="1295" w:name="_Toc25021_WPSOffice_Level2"/>
      <w:bookmarkStart w:id="1296" w:name="_Toc9327"/>
      <w:bookmarkStart w:id="1297" w:name="_Toc1701"/>
      <w:bookmarkStart w:id="1298" w:name="_Toc18338"/>
      <w:bookmarkStart w:id="1299" w:name="_Toc26403"/>
      <w:bookmarkStart w:id="1300" w:name="_Toc8971"/>
      <w:bookmarkStart w:id="1301" w:name="_Toc21547"/>
      <w:bookmarkStart w:id="1302" w:name="_Toc104110366"/>
      <w:bookmarkStart w:id="1303" w:name="_Toc17704"/>
      <w:bookmarkStart w:id="1304" w:name="_Toc30344"/>
      <w:bookmarkStart w:id="1305" w:name="_Toc122078310"/>
      <w:bookmarkStart w:id="1306" w:name="_Toc803645343_WPSOffice_Level2"/>
      <w:r>
        <w:rPr>
          <w:rFonts w:hint="eastAsia" w:ascii="黑体" w:hAnsi="黑体" w:eastAsia="黑体" w:cs="黑体"/>
          <w:b w:val="0"/>
          <w:bCs/>
          <w:sz w:val="32"/>
          <w:szCs w:val="32"/>
        </w:rPr>
        <w:t>三、实施积极的农民就业</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rPr>
          <w:rFonts w:hint="eastAsia" w:ascii="黑体" w:hAnsi="黑体" w:eastAsia="黑体" w:cs="黑体"/>
          <w:b w:val="0"/>
          <w:bCs/>
          <w:sz w:val="32"/>
          <w:szCs w:val="32"/>
        </w:rPr>
        <w:t>服务</w:t>
      </w:r>
      <w:bookmarkEnd w:id="1305"/>
      <w:bookmarkEnd w:id="1306"/>
    </w:p>
    <w:p w14:paraId="30275791">
      <w:pPr>
        <w:pStyle w:val="7"/>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b/>
          <w:sz w:val="32"/>
          <w:szCs w:val="32"/>
          <w:lang w:val="en"/>
        </w:rPr>
      </w:pPr>
      <w:r>
        <w:rPr>
          <w:rFonts w:hint="eastAsia" w:ascii="楷体" w:hAnsi="楷体" w:eastAsia="楷体" w:cs="楷体"/>
          <w:b w:val="0"/>
          <w:bCs/>
          <w:kern w:val="2"/>
          <w:sz w:val="32"/>
          <w:szCs w:val="32"/>
          <w:lang w:val="en" w:eastAsia="zh-CN" w:bidi="ar-SA"/>
        </w:rPr>
        <w:t>（一）完善促进农民就业。</w:t>
      </w:r>
      <w:r>
        <w:rPr>
          <w:rFonts w:hint="eastAsia" w:ascii="仿宋_GB2312" w:hAnsi="仿宋_GB2312" w:eastAsia="仿宋_GB2312" w:cs="仿宋_GB2312"/>
          <w:sz w:val="32"/>
          <w:szCs w:val="32"/>
          <w:lang w:val="en"/>
        </w:rPr>
        <w:t>引导农业企业通过临时性、季节性、弹性用工等形式，吸引农民灵活就业；鼓励企业延伸产业链和服务外包，吸引农民在加工、包装、运输等环节交替上岗，实现临时兼业；引导社会优质服务机构为农村劳动力转移就业提供就业指导、岗位推荐、职业介绍等服务。</w:t>
      </w:r>
    </w:p>
    <w:p w14:paraId="447D9D0B">
      <w:pPr>
        <w:pStyle w:val="7"/>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lang w:val="en"/>
        </w:rPr>
      </w:pPr>
      <w:r>
        <w:rPr>
          <w:rFonts w:hint="eastAsia" w:ascii="楷体" w:hAnsi="楷体" w:eastAsia="楷体" w:cs="楷体"/>
          <w:b w:val="0"/>
          <w:bCs/>
          <w:kern w:val="2"/>
          <w:sz w:val="32"/>
          <w:szCs w:val="32"/>
          <w:lang w:val="en" w:eastAsia="zh-CN" w:bidi="ar-SA"/>
        </w:rPr>
        <w:t>（二）增强新型农民劳动技能培训。</w:t>
      </w:r>
      <w:r>
        <w:rPr>
          <w:rFonts w:hint="eastAsia" w:ascii="仿宋_GB2312" w:hAnsi="仿宋_GB2312" w:eastAsia="仿宋_GB2312" w:cs="仿宋_GB2312"/>
          <w:sz w:val="32"/>
          <w:szCs w:val="32"/>
          <w:lang w:val="en"/>
        </w:rPr>
        <w:t>健全完善教育培训、规范管理、政策支持“三位一体”的新型职业农民培育模式，加大对家庭农场经营者、农民合作社领办人培训力度；利用劳动技能培训、农广校等培训机构面向农村劳动力开展职业技能培训，对农民参加市场紧缺职业及补贴标准目录内职业技能培训，按规定给予职业培训补贴，促进具有劳动能力和就业意愿的农民不断增强就业能力。</w:t>
      </w:r>
    </w:p>
    <w:p w14:paraId="0350D4F1">
      <w:pPr>
        <w:pStyle w:val="7"/>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1.开展科技下乡指导。</w:t>
      </w:r>
      <w:r>
        <w:rPr>
          <w:rFonts w:hint="eastAsia" w:ascii="仿宋_GB2312" w:hAnsi="仿宋_GB2312" w:eastAsia="仿宋_GB2312" w:cs="仿宋_GB2312"/>
          <w:sz w:val="32"/>
          <w:szCs w:val="32"/>
          <w:lang w:val="en"/>
        </w:rPr>
        <w:t>利用农民农闲的时间开展科技下乡宣传培训活动，活动以科技赶集为主，现场培训、入户指导等多种形式为辅的形式开展，结合田间指导、广播、网络媒体等方法进行，传授农业技术。</w:t>
      </w:r>
    </w:p>
    <w:p w14:paraId="3B46979F">
      <w:pPr>
        <w:pStyle w:val="7"/>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2.加强农民技能型培训。</w:t>
      </w:r>
      <w:r>
        <w:rPr>
          <w:rFonts w:hint="eastAsia" w:ascii="仿宋_GB2312" w:hAnsi="仿宋_GB2312" w:eastAsia="仿宋_GB2312" w:cs="仿宋_GB2312"/>
          <w:sz w:val="32"/>
          <w:szCs w:val="32"/>
          <w:lang w:val="en"/>
        </w:rPr>
        <w:t>重点开展专业技能型培训，包括长期、稳定在农业企业、农民合作社、家庭农场等企业经营主体的农村劳动力，以及经济薄弱村的致富能手，成为经济致富带头人，助力乡村振兴。</w:t>
      </w:r>
    </w:p>
    <w:p w14:paraId="4F2D5FAE">
      <w:pPr>
        <w:pageBreakBefore w:val="0"/>
        <w:kinsoku/>
        <w:wordWrap/>
        <w:topLinePunct w:val="0"/>
        <w:autoSpaceDE/>
        <w:autoSpaceDN/>
        <w:bidi w:val="0"/>
        <w:spacing w:line="560" w:lineRule="exact"/>
        <w:ind w:firstLine="643"/>
        <w:rPr>
          <w:rFonts w:hint="eastAsia" w:ascii="仿宋_GB2312" w:hAnsi="仿宋_GB2312" w:eastAsia="仿宋_GB2312" w:cs="仿宋_GB2312"/>
          <w:sz w:val="32"/>
          <w:szCs w:val="32"/>
          <w:lang w:val="en"/>
        </w:rPr>
      </w:pPr>
      <w:r>
        <w:rPr>
          <w:rFonts w:hint="eastAsia" w:ascii="楷体" w:hAnsi="楷体" w:eastAsia="楷体" w:cs="楷体"/>
          <w:b w:val="0"/>
          <w:bCs/>
          <w:sz w:val="32"/>
          <w:szCs w:val="32"/>
          <w:shd w:val="clear" w:color="auto" w:fill="FFFFFF"/>
          <w:lang w:val="en" w:bidi="ar"/>
        </w:rPr>
        <w:t>（三）完善创新创业服务。</w:t>
      </w:r>
      <w:r>
        <w:rPr>
          <w:rFonts w:hint="eastAsia" w:ascii="仿宋_GB2312" w:hAnsi="仿宋_GB2312" w:eastAsia="仿宋_GB2312" w:cs="仿宋_GB2312"/>
          <w:sz w:val="32"/>
          <w:szCs w:val="32"/>
          <w:lang w:val="en"/>
        </w:rPr>
        <w:t>重点打造创业孵化、法律援助、农产品营销和农村产权评估与交易等服务平台。鼓励科研机构、大专院校、行业协会、商会、专业性服务机构、龙头企业面向创业农民提供专业化服务。创建具有区域特色、标准高、服务优、带动作用强的农村创业创新示范园区。</w:t>
      </w:r>
    </w:p>
    <w:p w14:paraId="40A35634">
      <w:pPr>
        <w:pStyle w:val="7"/>
        <w:pageBreakBefore w:val="0"/>
        <w:kinsoku/>
        <w:wordWrap/>
        <w:topLinePunct w:val="0"/>
        <w:autoSpaceDE/>
        <w:autoSpaceDN/>
        <w:bidi w:val="0"/>
        <w:adjustRightInd w:val="0"/>
        <w:snapToGrid w:val="0"/>
        <w:spacing w:line="560" w:lineRule="exact"/>
        <w:ind w:firstLine="643"/>
        <w:rPr>
          <w:rFonts w:hint="eastAsia" w:ascii="仿宋_GB2312" w:hAnsi="仿宋_GB2312" w:eastAsia="仿宋_GB2312" w:cs="仿宋_GB2312"/>
          <w:sz w:val="32"/>
          <w:szCs w:val="32"/>
          <w:lang w:val="en"/>
        </w:rPr>
      </w:pPr>
      <w:r>
        <w:rPr>
          <w:rFonts w:hint="eastAsia" w:ascii="楷体" w:hAnsi="楷体" w:eastAsia="楷体" w:cs="楷体"/>
          <w:b w:val="0"/>
          <w:bCs/>
          <w:sz w:val="32"/>
          <w:szCs w:val="32"/>
          <w:lang w:val="en"/>
        </w:rPr>
        <w:t>（四）健全农业专业化社会化服务体系。</w:t>
      </w:r>
      <w:r>
        <w:rPr>
          <w:rFonts w:hint="eastAsia" w:ascii="仿宋_GB2312" w:hAnsi="仿宋_GB2312" w:eastAsia="仿宋_GB2312" w:cs="仿宋_GB2312"/>
          <w:sz w:val="32"/>
          <w:szCs w:val="32"/>
          <w:lang w:val="en"/>
        </w:rPr>
        <w:t>开展示范社（场）创建和农民合作社规范提升工作，进一步提升农民合作社规范化水平，不断增强农业经营主体的经济实力、发展活力和带动能力，充分发挥其服务农民、帮助农民、提高农民、富裕农民的功能作用，实现小农户与现代农业有机衔接。加强服务引导，引导种植大户、家庭农场、合作社等新型组织，引导农业生产与经营企业、农机合作社等社会主体，引导扩展专业化组织服务于多种作物，引导向全程农业服务方向发展。</w:t>
      </w:r>
    </w:p>
    <w:p w14:paraId="68CEBA7B">
      <w:pPr>
        <w:pStyle w:val="3"/>
        <w:pageBreakBefore w:val="0"/>
        <w:kinsoku/>
        <w:wordWrap/>
        <w:topLinePunct w:val="0"/>
        <w:autoSpaceDE/>
        <w:autoSpaceDN/>
        <w:bidi w:val="0"/>
        <w:spacing w:line="560" w:lineRule="exact"/>
        <w:rPr>
          <w:rFonts w:hint="eastAsia" w:ascii="黑体" w:hAnsi="黑体" w:eastAsia="黑体" w:cs="黑体"/>
          <w:sz w:val="32"/>
          <w:szCs w:val="32"/>
        </w:rPr>
      </w:pPr>
      <w:bookmarkStart w:id="1307" w:name="_Toc27873"/>
      <w:bookmarkStart w:id="1308" w:name="_Toc7233"/>
      <w:bookmarkStart w:id="1309" w:name="_Toc17651"/>
      <w:bookmarkStart w:id="1310" w:name="_Toc104110367"/>
      <w:bookmarkStart w:id="1311" w:name="_Toc12314"/>
      <w:bookmarkStart w:id="1312" w:name="_Toc13593"/>
      <w:bookmarkStart w:id="1313" w:name="_Toc11573_WPSOffice_Level1"/>
      <w:bookmarkStart w:id="1314" w:name="_Toc122078311"/>
      <w:bookmarkStart w:id="1315" w:name="_Toc17819"/>
      <w:bookmarkStart w:id="1316" w:name="_Toc16232"/>
      <w:bookmarkStart w:id="1317" w:name="_Toc954539329_WPSOffice_Level1"/>
      <w:bookmarkStart w:id="1318" w:name="_Toc17918"/>
      <w:bookmarkStart w:id="1319" w:name="_Toc1962"/>
      <w:bookmarkStart w:id="1320" w:name="_Toc21559"/>
      <w:bookmarkStart w:id="1321" w:name="_Toc25827"/>
      <w:bookmarkStart w:id="1322" w:name="_Toc26504"/>
      <w:bookmarkStart w:id="1323" w:name="_Toc9853"/>
      <w:bookmarkStart w:id="1324" w:name="_Toc9329"/>
      <w:bookmarkStart w:id="1325" w:name="_Toc15859"/>
      <w:bookmarkStart w:id="1326" w:name="_Toc13224"/>
      <w:bookmarkStart w:id="1327" w:name="_Toc7798"/>
      <w:bookmarkStart w:id="1328" w:name="_Toc88821347"/>
      <w:bookmarkStart w:id="1329" w:name="_Toc25223"/>
      <w:bookmarkStart w:id="1330" w:name="_Toc1606"/>
      <w:bookmarkStart w:id="1331" w:name="_Toc3119"/>
      <w:bookmarkStart w:id="1332" w:name="_Toc6051"/>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章 强化实施保障，确保农业农村规划落实</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14:paraId="4FB464CE">
      <w:pPr>
        <w:pStyle w:val="2"/>
        <w:pageBreakBefore w:val="0"/>
        <w:kinsoku/>
        <w:wordWrap/>
        <w:overflowPunct w:val="0"/>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坚持党的全面领导，建立健全规划实施机制，强化保障措施，凝聚推动发展的强大合力，确保一张蓝图绘到底。</w:t>
      </w:r>
    </w:p>
    <w:p w14:paraId="7FF40613">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1333" w:name="_Toc471080763_WPSOffice_Level2"/>
      <w:bookmarkStart w:id="1334" w:name="_Toc88821348"/>
      <w:bookmarkStart w:id="1335" w:name="_Toc30904"/>
      <w:bookmarkStart w:id="1336" w:name="_Toc32354"/>
      <w:bookmarkStart w:id="1337" w:name="_Toc820"/>
      <w:bookmarkStart w:id="1338" w:name="_Toc104110368"/>
      <w:bookmarkStart w:id="1339" w:name="_Toc27727"/>
      <w:bookmarkStart w:id="1340" w:name="_Toc31403"/>
      <w:bookmarkStart w:id="1341" w:name="_Toc22708"/>
      <w:bookmarkStart w:id="1342" w:name="_Toc27763"/>
      <w:bookmarkStart w:id="1343" w:name="_Toc7783"/>
      <w:bookmarkStart w:id="1344" w:name="_Toc30688"/>
      <w:bookmarkStart w:id="1345" w:name="_Toc2661"/>
      <w:bookmarkStart w:id="1346" w:name="_Toc29244"/>
      <w:bookmarkStart w:id="1347" w:name="_Toc3129"/>
      <w:bookmarkStart w:id="1348" w:name="_Toc9206"/>
      <w:bookmarkStart w:id="1349" w:name="_Toc22436"/>
      <w:bookmarkStart w:id="1350" w:name="_Toc3179"/>
      <w:bookmarkStart w:id="1351" w:name="_Toc27659"/>
      <w:bookmarkStart w:id="1352" w:name="_Toc23721"/>
      <w:bookmarkStart w:id="1353" w:name="_Toc23141_WPSOffice_Level2"/>
      <w:bookmarkStart w:id="1354" w:name="_Toc122078312"/>
      <w:bookmarkStart w:id="1355" w:name="_Toc28698"/>
      <w:bookmarkStart w:id="1356" w:name="_Toc25254"/>
      <w:bookmarkStart w:id="1357" w:name="_Toc8596"/>
      <w:bookmarkStart w:id="1358" w:name="_Toc1053"/>
      <w:r>
        <w:rPr>
          <w:rFonts w:hint="eastAsia" w:ascii="黑体" w:hAnsi="黑体" w:eastAsia="黑体" w:cs="黑体"/>
          <w:b w:val="0"/>
          <w:bCs/>
          <w:sz w:val="32"/>
          <w:szCs w:val="32"/>
        </w:rPr>
        <w:t>一、编制专项规划</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14:paraId="09ECEC4C">
      <w:pPr>
        <w:pageBreakBefore w:val="0"/>
        <w:kinsoku/>
        <w:wordWrap/>
        <w:topLinePunct w:val="0"/>
        <w:autoSpaceDE/>
        <w:autoSpaceDN/>
        <w:bidi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贯彻规划先行，明确农业农村发展的具体思路和目标任务，</w:t>
      </w:r>
      <w:r>
        <w:rPr>
          <w:rFonts w:hint="eastAsia" w:ascii="仿宋_GB2312" w:hAnsi="仿宋_GB2312" w:eastAsia="仿宋_GB2312" w:cs="仿宋_GB2312"/>
          <w:sz w:val="32"/>
          <w:szCs w:val="32"/>
        </w:rPr>
        <w:t>针对</w:t>
      </w:r>
      <w:r>
        <w:rPr>
          <w:rFonts w:hint="eastAsia" w:ascii="仿宋_GB2312" w:hAnsi="仿宋_GB2312" w:eastAsia="仿宋_GB2312" w:cs="仿宋_GB2312"/>
          <w:bCs/>
          <w:sz w:val="32"/>
          <w:szCs w:val="32"/>
        </w:rPr>
        <w:t>农业农村发展“十四五”规划提出的农业产业项目和农村建设项目，推动各村编制村庄规划、由实施主体牵头编制专项规划，</w:t>
      </w:r>
      <w:r>
        <w:rPr>
          <w:rFonts w:hint="eastAsia" w:ascii="仿宋_GB2312" w:hAnsi="仿宋_GB2312" w:eastAsia="仿宋_GB2312" w:cs="仿宋_GB2312"/>
          <w:kern w:val="0"/>
          <w:sz w:val="32"/>
          <w:szCs w:val="32"/>
        </w:rPr>
        <w:t>确保农业农村发展用地，确保农业一二三产</w:t>
      </w:r>
      <w:r>
        <w:rPr>
          <w:rFonts w:hint="eastAsia" w:ascii="仿宋_GB2312" w:hAnsi="仿宋_GB2312" w:eastAsia="仿宋_GB2312" w:cs="仿宋_GB2312"/>
          <w:kern w:val="0"/>
          <w:sz w:val="32"/>
          <w:szCs w:val="32"/>
          <w:lang w:val="en-US" w:eastAsia="zh-CN"/>
        </w:rPr>
        <w:t>业</w:t>
      </w:r>
      <w:bookmarkStart w:id="1465" w:name="_GoBack"/>
      <w:bookmarkEnd w:id="1465"/>
      <w:r>
        <w:rPr>
          <w:rFonts w:hint="eastAsia" w:ascii="仿宋_GB2312" w:hAnsi="仿宋_GB2312" w:eastAsia="仿宋_GB2312" w:cs="仿宋_GB2312"/>
          <w:kern w:val="0"/>
          <w:sz w:val="32"/>
          <w:szCs w:val="32"/>
        </w:rPr>
        <w:t>融合发展用地。推动形成城乡融合、区域一体、多规合一的规划体系。</w:t>
      </w:r>
    </w:p>
    <w:p w14:paraId="6D72C519">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1359" w:name="_Toc11291"/>
      <w:bookmarkStart w:id="1360" w:name="_Toc9262"/>
      <w:bookmarkStart w:id="1361" w:name="_Toc1236010973_WPSOffice_Level2"/>
      <w:bookmarkStart w:id="1362" w:name="_Toc15862"/>
      <w:bookmarkStart w:id="1363" w:name="_Toc88821349"/>
      <w:bookmarkStart w:id="1364" w:name="_Toc26967"/>
      <w:bookmarkStart w:id="1365" w:name="_Toc28469"/>
      <w:bookmarkStart w:id="1366" w:name="_Toc9998"/>
      <w:bookmarkStart w:id="1367" w:name="_Toc20244"/>
      <w:bookmarkStart w:id="1368" w:name="_Toc122078313"/>
      <w:bookmarkStart w:id="1369" w:name="_Toc29915"/>
      <w:bookmarkStart w:id="1370" w:name="_Toc25004"/>
      <w:bookmarkStart w:id="1371" w:name="_Toc14186"/>
      <w:bookmarkStart w:id="1372" w:name="_Toc24319"/>
      <w:bookmarkStart w:id="1373" w:name="_Toc29930"/>
      <w:bookmarkStart w:id="1374" w:name="_Toc7877"/>
      <w:bookmarkStart w:id="1375" w:name="_Toc14466"/>
      <w:bookmarkStart w:id="1376" w:name="_Toc7322"/>
      <w:bookmarkStart w:id="1377" w:name="_Toc29528"/>
      <w:bookmarkStart w:id="1378" w:name="_Toc16870_WPSOffice_Level2"/>
      <w:bookmarkStart w:id="1379" w:name="_Toc24771"/>
      <w:bookmarkStart w:id="1380" w:name="_Toc1841"/>
      <w:bookmarkStart w:id="1381" w:name="_Toc104110369"/>
      <w:bookmarkStart w:id="1382" w:name="_Toc16648"/>
      <w:bookmarkStart w:id="1383" w:name="_Toc30684"/>
      <w:bookmarkStart w:id="1384" w:name="_Toc12161"/>
      <w:r>
        <w:rPr>
          <w:rFonts w:hint="eastAsia" w:ascii="黑体" w:hAnsi="黑体" w:eastAsia="黑体" w:cs="黑体"/>
          <w:b w:val="0"/>
          <w:bCs/>
          <w:sz w:val="32"/>
          <w:szCs w:val="32"/>
        </w:rPr>
        <w:t>二、加强组织领导</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14:paraId="1BDB6CA6">
      <w:pPr>
        <w:pageBreakBefore w:val="0"/>
        <w:kinsoku/>
        <w:wordWrap/>
        <w:topLinePunct w:val="0"/>
        <w:autoSpaceDE/>
        <w:autoSpaceDN/>
        <w:bidi w:val="0"/>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成立宁河区农业农村发展“十四五”规划实施领导小组，由区分管副区长任组长农业农村委主要领导全面负责，开展</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十四五</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规划实施工作，组成强有力的工作队伍，抓好贯彻落实，做到决策部署以规划为依据，工作目标以规划为指南，考核工作以规划实施效果为主要标准。</w:t>
      </w:r>
    </w:p>
    <w:p w14:paraId="611B0869">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1385" w:name="_Toc22196"/>
      <w:bookmarkStart w:id="1386" w:name="_Toc23752"/>
      <w:bookmarkStart w:id="1387" w:name="_Toc2144205702_WPSOffice_Level2"/>
      <w:bookmarkStart w:id="1388" w:name="_Toc19959"/>
      <w:bookmarkStart w:id="1389" w:name="_Toc25207"/>
      <w:bookmarkStart w:id="1390" w:name="_Toc23518"/>
      <w:bookmarkStart w:id="1391" w:name="_Toc3525"/>
      <w:bookmarkStart w:id="1392" w:name="_Toc30608"/>
      <w:bookmarkStart w:id="1393" w:name="_Toc15563"/>
      <w:bookmarkStart w:id="1394" w:name="_Toc16394"/>
      <w:bookmarkStart w:id="1395" w:name="_Toc28555"/>
      <w:bookmarkStart w:id="1396" w:name="_Toc7387"/>
      <w:bookmarkStart w:id="1397" w:name="_Toc12625"/>
      <w:bookmarkStart w:id="1398" w:name="_Toc16474"/>
      <w:bookmarkStart w:id="1399" w:name="_Toc88821350"/>
      <w:bookmarkStart w:id="1400" w:name="_Toc15782_WPSOffice_Level2"/>
      <w:bookmarkStart w:id="1401" w:name="_Toc5243"/>
      <w:bookmarkStart w:id="1402" w:name="_Toc27131"/>
      <w:bookmarkStart w:id="1403" w:name="_Toc4981"/>
      <w:bookmarkStart w:id="1404" w:name="_Toc122078314"/>
      <w:bookmarkStart w:id="1405" w:name="_Toc19230"/>
      <w:bookmarkStart w:id="1406" w:name="_Toc30183"/>
      <w:bookmarkStart w:id="1407" w:name="_Toc104110370"/>
      <w:bookmarkStart w:id="1408" w:name="_Toc17993"/>
      <w:bookmarkStart w:id="1409" w:name="_Toc9820"/>
      <w:bookmarkStart w:id="1410" w:name="_Toc26798"/>
      <w:r>
        <w:rPr>
          <w:rFonts w:hint="eastAsia" w:ascii="黑体" w:hAnsi="黑体" w:eastAsia="黑体" w:cs="黑体"/>
          <w:b w:val="0"/>
          <w:bCs/>
          <w:sz w:val="32"/>
          <w:szCs w:val="32"/>
        </w:rPr>
        <w:t>三、建立任务台账</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14:paraId="7D00B368">
      <w:pPr>
        <w:pageBreakBefore w:val="0"/>
        <w:kinsoku/>
        <w:wordWrap/>
        <w:topLinePunct w:val="0"/>
        <w:autoSpaceDE/>
        <w:autoSpaceDN/>
        <w:bidi w:val="0"/>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完善项目推进机制，提高项目建设推进的质量和效益。压实各级主体责任，确保任务落实到位、责任落实到人。对需要协调的重大项目，领导小组要提前研究、尽快论证、及时沟通、搞好对接，统筹推动项目进展，确保规划目标的顺利达成，确保按期竣工。</w:t>
      </w:r>
    </w:p>
    <w:p w14:paraId="7C75400B">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1411" w:name="_Toc12113"/>
      <w:bookmarkStart w:id="1412" w:name="_Toc343739976_WPSOffice_Level2"/>
      <w:bookmarkStart w:id="1413" w:name="_Toc104110372"/>
      <w:bookmarkStart w:id="1414" w:name="_Toc21048"/>
      <w:bookmarkStart w:id="1415" w:name="_Toc24755"/>
      <w:bookmarkStart w:id="1416" w:name="_Toc12493"/>
      <w:bookmarkStart w:id="1417" w:name="_Toc122078315"/>
      <w:bookmarkStart w:id="1418" w:name="_Toc12799"/>
      <w:bookmarkStart w:id="1419" w:name="_Toc354"/>
      <w:bookmarkStart w:id="1420" w:name="_Toc4103"/>
      <w:bookmarkStart w:id="1421" w:name="_Toc32629"/>
      <w:bookmarkStart w:id="1422" w:name="_Toc30342_WPSOffice_Level2"/>
      <w:bookmarkStart w:id="1423" w:name="_Toc17908"/>
      <w:bookmarkStart w:id="1424" w:name="_Toc30324"/>
      <w:bookmarkStart w:id="1425" w:name="_Toc12842"/>
      <w:bookmarkStart w:id="1426" w:name="_Toc30695"/>
      <w:bookmarkStart w:id="1427" w:name="_Toc18327"/>
      <w:bookmarkStart w:id="1428" w:name="_Toc19090"/>
      <w:bookmarkStart w:id="1429" w:name="_Toc3911"/>
      <w:bookmarkStart w:id="1430" w:name="_Toc27774"/>
      <w:bookmarkStart w:id="1431" w:name="_Toc25294"/>
      <w:bookmarkStart w:id="1432" w:name="_Toc88821352"/>
      <w:bookmarkStart w:id="1433" w:name="_Toc13701"/>
      <w:bookmarkStart w:id="1434" w:name="_Toc32409"/>
      <w:bookmarkStart w:id="1435" w:name="_Toc547"/>
      <w:bookmarkStart w:id="1436" w:name="_Toc17097"/>
      <w:r>
        <w:rPr>
          <w:rFonts w:hint="eastAsia" w:ascii="黑体" w:hAnsi="黑体" w:eastAsia="黑体" w:cs="黑体"/>
          <w:b w:val="0"/>
          <w:bCs/>
          <w:sz w:val="32"/>
          <w:szCs w:val="32"/>
        </w:rPr>
        <w:t>四、强化资金保障</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14:paraId="4BC70488">
      <w:pPr>
        <w:pStyle w:val="7"/>
        <w:pageBreakBefore w:val="0"/>
        <w:kinsoku/>
        <w:wordWrap/>
        <w:topLinePunct w:val="0"/>
        <w:autoSpaceDE/>
        <w:autoSpaceDN/>
        <w:bidi w:val="0"/>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农村信用体系建设，建立健全农业信贷担保体系，区财政金融局建立政银保担一体化乡村产业融资平台，量力而行设立乡村产业扶持资金，争取撬动10倍银行资金。加强涉农资金的统筹整合，提高资金使用效率。建立工商资本入乡促进机制。</w:t>
      </w:r>
    </w:p>
    <w:p w14:paraId="05A3E84F">
      <w:pPr>
        <w:pStyle w:val="4"/>
        <w:pageBreakBefore w:val="0"/>
        <w:kinsoku/>
        <w:wordWrap/>
        <w:topLinePunct w:val="0"/>
        <w:autoSpaceDE/>
        <w:autoSpaceDN/>
        <w:bidi w:val="0"/>
        <w:spacing w:line="560" w:lineRule="exact"/>
        <w:ind w:firstLine="640" w:firstLineChars="200"/>
        <w:jc w:val="left"/>
        <w:rPr>
          <w:rFonts w:hint="eastAsia" w:ascii="黑体" w:hAnsi="黑体" w:eastAsia="黑体" w:cs="黑体"/>
          <w:b w:val="0"/>
          <w:bCs/>
          <w:sz w:val="32"/>
          <w:szCs w:val="32"/>
        </w:rPr>
      </w:pPr>
      <w:bookmarkStart w:id="1437" w:name="_Toc30720"/>
      <w:bookmarkStart w:id="1438" w:name="_Toc8689"/>
      <w:bookmarkStart w:id="1439" w:name="_Toc5937"/>
      <w:bookmarkStart w:id="1440" w:name="_Toc7660"/>
      <w:bookmarkStart w:id="1441" w:name="_Toc15347"/>
      <w:bookmarkStart w:id="1442" w:name="_Toc24973"/>
      <w:bookmarkStart w:id="1443" w:name="_Toc1903"/>
      <w:bookmarkStart w:id="1444" w:name="_Toc10263"/>
      <w:bookmarkStart w:id="1445" w:name="_Toc22040"/>
      <w:bookmarkStart w:id="1446" w:name="_Toc104110373"/>
      <w:bookmarkStart w:id="1447" w:name="_Toc5651"/>
      <w:bookmarkStart w:id="1448" w:name="_Toc16196"/>
      <w:bookmarkStart w:id="1449" w:name="_Toc26691"/>
      <w:bookmarkStart w:id="1450" w:name="_Toc32528"/>
      <w:bookmarkStart w:id="1451" w:name="_Toc6152"/>
      <w:bookmarkStart w:id="1452" w:name="_Toc23879"/>
      <w:bookmarkStart w:id="1453" w:name="_Toc1783_WPSOffice_Level2"/>
      <w:bookmarkStart w:id="1454" w:name="_Toc11607"/>
      <w:bookmarkStart w:id="1455" w:name="_Toc122078316"/>
      <w:bookmarkStart w:id="1456" w:name="_Toc22046"/>
      <w:bookmarkStart w:id="1457" w:name="_Toc1727416897_WPSOffice_Level2"/>
      <w:bookmarkStart w:id="1458" w:name="_Toc26239"/>
      <w:bookmarkStart w:id="1459" w:name="_Toc8650"/>
      <w:bookmarkStart w:id="1460" w:name="_Toc88821353"/>
      <w:bookmarkStart w:id="1461" w:name="_Toc1652"/>
      <w:bookmarkStart w:id="1462" w:name="_Toc27105"/>
      <w:r>
        <w:rPr>
          <w:rFonts w:hint="eastAsia" w:ascii="黑体" w:hAnsi="黑体" w:eastAsia="黑体" w:cs="黑体"/>
          <w:b w:val="0"/>
          <w:bCs/>
          <w:sz w:val="32"/>
          <w:szCs w:val="32"/>
        </w:rPr>
        <w:t>五、强化考核激励</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14:paraId="47D8C080">
      <w:pPr>
        <w:pageBreakBefore w:val="0"/>
        <w:kinsoku/>
        <w:wordWrap/>
        <w:topLinePunct w:val="0"/>
        <w:autoSpaceDE/>
        <w:autoSpaceDN/>
        <w:bidi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将规划目标分解为可落实到部门的任务，建立规划实施考核的评价体系，分年度组织监测、评价和认定。发挥社会监督作用，保证评估考核过程中的公平、公正和客观。</w:t>
      </w:r>
    </w:p>
    <w:p w14:paraId="00BD8521">
      <w:pPr>
        <w:pStyle w:val="2"/>
        <w:pageBreakBefore w:val="0"/>
        <w:kinsoku/>
        <w:wordWrap/>
        <w:topLinePunct w:val="0"/>
        <w:autoSpaceDE/>
        <w:autoSpaceDN/>
        <w:bidi w:val="0"/>
        <w:spacing w:line="560" w:lineRule="exact"/>
        <w:rPr>
          <w:rFonts w:hint="eastAsia" w:ascii="仿宋_GB2312" w:hAnsi="仿宋_GB2312" w:eastAsia="仿宋_GB2312" w:cs="仿宋_GB2312"/>
          <w:sz w:val="32"/>
          <w:szCs w:val="32"/>
        </w:rPr>
      </w:pPr>
    </w:p>
    <w:p w14:paraId="4C66C30B">
      <w:pPr>
        <w:pStyle w:val="3"/>
        <w:pageBreakBefore w:val="0"/>
        <w:kinsoku/>
        <w:wordWrap/>
        <w:topLinePunct w:val="0"/>
        <w:autoSpaceDE/>
        <w:autoSpaceDN/>
        <w:bidi w:val="0"/>
        <w:spacing w:line="560" w:lineRule="exact"/>
        <w:rPr>
          <w:rFonts w:hint="eastAsia" w:ascii="仿宋_GB2312" w:hAnsi="仿宋_GB2312" w:eastAsia="仿宋_GB2312" w:cs="仿宋_GB2312"/>
          <w:sz w:val="32"/>
          <w:szCs w:val="32"/>
        </w:rPr>
        <w:sectPr>
          <w:headerReference r:id="rId12" w:type="default"/>
          <w:footerReference r:id="rId13" w:type="default"/>
          <w:pgSz w:w="11906" w:h="16838"/>
          <w:pgMar w:top="1440" w:right="1800" w:bottom="1440" w:left="1800" w:header="851" w:footer="992" w:gutter="0"/>
          <w:pgNumType w:start="1"/>
          <w:cols w:space="425" w:num="1"/>
          <w:docGrid w:type="lines" w:linePitch="312" w:charSpace="0"/>
        </w:sectPr>
      </w:pPr>
    </w:p>
    <w:p w14:paraId="4B55150E">
      <w:pPr>
        <w:pStyle w:val="12"/>
        <w:pageBreakBefore w:val="0"/>
        <w:kinsoku/>
        <w:wordWrap/>
        <w:topLinePunct w:val="0"/>
        <w:autoSpaceDE/>
        <w:autoSpaceDN/>
        <w:bidi w:val="0"/>
        <w:spacing w:line="560" w:lineRule="exact"/>
        <w:ind w:left="0" w:leftChars="0" w:firstLine="0" w:firstLineChars="0"/>
        <w:rPr>
          <w:rFonts w:hint="eastAsia" w:ascii="仿宋_GB2312" w:hAnsi="仿宋_GB2312" w:eastAsia="仿宋_GB2312" w:cs="仿宋_GB2312"/>
          <w:sz w:val="32"/>
          <w:szCs w:val="32"/>
        </w:rPr>
      </w:pPr>
      <w:bookmarkStart w:id="1463" w:name="_Toc122078317"/>
      <w:r>
        <w:rPr>
          <w:rStyle w:val="30"/>
          <w:rFonts w:hint="eastAsia" w:ascii="仿宋_GB2312" w:hAnsi="仿宋_GB2312" w:eastAsia="仿宋_GB2312" w:cs="仿宋_GB2312"/>
          <w:sz w:val="32"/>
          <w:szCs w:val="32"/>
        </w:rPr>
        <w:t>附件</w:t>
      </w:r>
      <w:bookmarkEnd w:id="1463"/>
      <w:r>
        <w:rPr>
          <w:rFonts w:hint="eastAsia" w:ascii="仿宋_GB2312" w:hAnsi="仿宋_GB2312" w:eastAsia="仿宋_GB2312" w:cs="仿宋_GB2312"/>
          <w:sz w:val="32"/>
          <w:szCs w:val="32"/>
        </w:rPr>
        <w:t>：</w:t>
      </w:r>
    </w:p>
    <w:p w14:paraId="39D9D229">
      <w:pPr>
        <w:pStyle w:val="12"/>
        <w:pageBreakBefore w:val="0"/>
        <w:kinsoku/>
        <w:wordWrap/>
        <w:topLinePunct w:val="0"/>
        <w:autoSpaceDE/>
        <w:autoSpaceDN/>
        <w:bidi w:val="0"/>
        <w:spacing w:line="560" w:lineRule="exact"/>
        <w:ind w:left="64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宁河区农业农村现代化发展重点工程项目</w:t>
      </w:r>
    </w:p>
    <w:tbl>
      <w:tblPr>
        <w:tblStyle w:val="23"/>
        <w:tblpPr w:leftFromText="180" w:rightFromText="180" w:vertAnchor="text" w:horzAnchor="margin" w:tblpY="509"/>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6"/>
        <w:gridCol w:w="2206"/>
      </w:tblGrid>
      <w:tr w14:paraId="3BD5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436" w:type="dxa"/>
          </w:tcPr>
          <w:p w14:paraId="506DFEBF">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rPr>
            </w:pPr>
            <w:bookmarkStart w:id="1464" w:name="_Toc119257482"/>
            <w:r>
              <w:rPr>
                <w:rFonts w:hint="eastAsia" w:ascii="仿宋_GB2312" w:hAnsi="仿宋_GB2312" w:eastAsia="仿宋_GB2312" w:cs="仿宋_GB2312"/>
                <w:b/>
                <w:bCs/>
                <w:sz w:val="21"/>
                <w:szCs w:val="21"/>
              </w:rPr>
              <w:t>项目名称</w:t>
            </w:r>
          </w:p>
        </w:tc>
        <w:tc>
          <w:tcPr>
            <w:tcW w:w="2206" w:type="dxa"/>
          </w:tcPr>
          <w:p w14:paraId="3E05A27B">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工程进展</w:t>
            </w:r>
          </w:p>
        </w:tc>
      </w:tr>
      <w:tr w14:paraId="2CDC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56D1DF30">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丰台镇乡村振兴一二三产业融合发展项目</w:t>
            </w:r>
          </w:p>
        </w:tc>
        <w:tc>
          <w:tcPr>
            <w:tcW w:w="2206" w:type="dxa"/>
          </w:tcPr>
          <w:p w14:paraId="70463018">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3845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22A84358">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岳龙镇乡村振兴项目</w:t>
            </w:r>
          </w:p>
        </w:tc>
        <w:tc>
          <w:tcPr>
            <w:tcW w:w="2206" w:type="dxa"/>
          </w:tcPr>
          <w:p w14:paraId="30743F18">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3C0C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074DC54F">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宁河镇高标准农田整治及基础设施提升工程</w:t>
            </w:r>
          </w:p>
        </w:tc>
        <w:tc>
          <w:tcPr>
            <w:tcW w:w="2206" w:type="dxa"/>
          </w:tcPr>
          <w:p w14:paraId="33182250">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0D53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6024529E">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廉庄镇稻香小镇乡村振兴项目</w:t>
            </w:r>
          </w:p>
        </w:tc>
        <w:tc>
          <w:tcPr>
            <w:tcW w:w="2206" w:type="dxa"/>
          </w:tcPr>
          <w:p w14:paraId="16AA44A5">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6405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2C2272E5">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俵口镇湿地水乡乡村振兴项目</w:t>
            </w:r>
          </w:p>
        </w:tc>
        <w:tc>
          <w:tcPr>
            <w:tcW w:w="2206" w:type="dxa"/>
          </w:tcPr>
          <w:p w14:paraId="18D6823A">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4912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1C8C4027">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中国甑乡·宁河板桥镇乡村振兴项目</w:t>
            </w:r>
          </w:p>
        </w:tc>
        <w:tc>
          <w:tcPr>
            <w:tcW w:w="2206" w:type="dxa"/>
          </w:tcPr>
          <w:p w14:paraId="40C3980C">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66F8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63F37274">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宁河区蓟运河沿河七村乡村振兴示范区工程</w:t>
            </w:r>
          </w:p>
        </w:tc>
        <w:tc>
          <w:tcPr>
            <w:tcW w:w="2206" w:type="dxa"/>
          </w:tcPr>
          <w:p w14:paraId="188FE69B">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51AB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105267E6">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苗庄镇后江石沽村乡村振兴项目</w:t>
            </w:r>
          </w:p>
        </w:tc>
        <w:tc>
          <w:tcPr>
            <w:tcW w:w="2206" w:type="dxa"/>
          </w:tcPr>
          <w:p w14:paraId="34C52289">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2A62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5D61FCE7">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潘庄镇三产融合乡村振兴项目</w:t>
            </w:r>
          </w:p>
        </w:tc>
        <w:tc>
          <w:tcPr>
            <w:tcW w:w="2206" w:type="dxa"/>
          </w:tcPr>
          <w:p w14:paraId="60605C6A">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7844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15FF76C1">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大北镇全域土地综合整治试点项目</w:t>
            </w:r>
          </w:p>
        </w:tc>
        <w:tc>
          <w:tcPr>
            <w:tcW w:w="2206" w:type="dxa"/>
          </w:tcPr>
          <w:p w14:paraId="0DE0376A">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1123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203061F8">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岳龙镇现代农业产业融合项目</w:t>
            </w:r>
          </w:p>
        </w:tc>
        <w:tc>
          <w:tcPr>
            <w:tcW w:w="2206" w:type="dxa"/>
          </w:tcPr>
          <w:p w14:paraId="1674CDC7">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1C34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3FF690E4">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七里海镇任凤村乡村振兴示范村项目</w:t>
            </w:r>
          </w:p>
        </w:tc>
        <w:tc>
          <w:tcPr>
            <w:tcW w:w="2206" w:type="dxa"/>
          </w:tcPr>
          <w:p w14:paraId="15B74743">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4990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2EF64670">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丰台镇岳秀村乡村振兴示范村及西赵村乡村振兴项目</w:t>
            </w:r>
          </w:p>
        </w:tc>
        <w:tc>
          <w:tcPr>
            <w:tcW w:w="2206" w:type="dxa"/>
          </w:tcPr>
          <w:p w14:paraId="326906E3">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4629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5BCA5536">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宁河区造甲城镇造甲城村乡村振兴项目</w:t>
            </w:r>
          </w:p>
        </w:tc>
        <w:tc>
          <w:tcPr>
            <w:tcW w:w="2206" w:type="dxa"/>
          </w:tcPr>
          <w:p w14:paraId="25035646">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5C20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4E08097C">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宁河区东棘坨镇全域土地综合整治试点项目</w:t>
            </w:r>
          </w:p>
        </w:tc>
        <w:tc>
          <w:tcPr>
            <w:tcW w:w="2206" w:type="dxa"/>
          </w:tcPr>
          <w:p w14:paraId="5501354C">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0A96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6E3C775E">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大北涧沽镇独立示范村乡村振兴项目</w:t>
            </w:r>
          </w:p>
        </w:tc>
        <w:tc>
          <w:tcPr>
            <w:tcW w:w="2206" w:type="dxa"/>
          </w:tcPr>
          <w:p w14:paraId="38669C4D">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14EC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56524B1A">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木头窝村乡村振兴示范村项目</w:t>
            </w:r>
          </w:p>
        </w:tc>
        <w:tc>
          <w:tcPr>
            <w:tcW w:w="2206" w:type="dxa"/>
          </w:tcPr>
          <w:p w14:paraId="0BD2CA54">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02CB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3C21E2B9">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“津新”系列水产新品种苗产业化技术集成示范项目</w:t>
            </w:r>
          </w:p>
        </w:tc>
        <w:tc>
          <w:tcPr>
            <w:tcW w:w="2206" w:type="dxa"/>
          </w:tcPr>
          <w:p w14:paraId="5B5137E6">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6F1C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4061829A">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天祥水产公司大口黑鲈“优鲈3号”新品种引进及养殖技术示范项目</w:t>
            </w:r>
          </w:p>
        </w:tc>
        <w:tc>
          <w:tcPr>
            <w:tcW w:w="2206" w:type="dxa"/>
          </w:tcPr>
          <w:p w14:paraId="537796DE">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5722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5563B5FA">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中国北方生猪产业园提升改造项目</w:t>
            </w:r>
          </w:p>
        </w:tc>
        <w:tc>
          <w:tcPr>
            <w:tcW w:w="2206" w:type="dxa"/>
          </w:tcPr>
          <w:p w14:paraId="649629B0">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5193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3F856A23">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中国椒薯产业项目</w:t>
            </w:r>
          </w:p>
        </w:tc>
        <w:tc>
          <w:tcPr>
            <w:tcW w:w="2206" w:type="dxa"/>
          </w:tcPr>
          <w:p w14:paraId="10083F55">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75EF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45CAC055">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七里海生态农业特色产业园项目</w:t>
            </w:r>
          </w:p>
        </w:tc>
        <w:tc>
          <w:tcPr>
            <w:tcW w:w="2206" w:type="dxa"/>
          </w:tcPr>
          <w:p w14:paraId="512DC2F3">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0516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6E3D3A32">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宁河区预制菜产业项目</w:t>
            </w:r>
          </w:p>
        </w:tc>
        <w:tc>
          <w:tcPr>
            <w:tcW w:w="2206" w:type="dxa"/>
          </w:tcPr>
          <w:p w14:paraId="592BA09C">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67DD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00E1E9A2">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宁河镇杨泗等七村农文旅融合项目</w:t>
            </w:r>
          </w:p>
        </w:tc>
        <w:tc>
          <w:tcPr>
            <w:tcW w:w="2206" w:type="dxa"/>
          </w:tcPr>
          <w:p w14:paraId="6F6E0397">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3402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576D9074">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重走方舟路红色旅游基地项目</w:t>
            </w:r>
          </w:p>
        </w:tc>
        <w:tc>
          <w:tcPr>
            <w:tcW w:w="2206" w:type="dxa"/>
          </w:tcPr>
          <w:p w14:paraId="70886843">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tr w14:paraId="6FD1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14:paraId="12E23EF5">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芦花香农文旅生态农庄项目</w:t>
            </w:r>
          </w:p>
        </w:tc>
        <w:tc>
          <w:tcPr>
            <w:tcW w:w="2206" w:type="dxa"/>
          </w:tcPr>
          <w:p w14:paraId="1EE4B4DB">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p>
        </w:tc>
      </w:tr>
      <w:bookmarkEnd w:id="1464"/>
    </w:tbl>
    <w:p w14:paraId="188B0F5E">
      <w:pPr>
        <w:pStyle w:val="2"/>
        <w:pageBreakBefore w:val="0"/>
        <w:kinsoku/>
        <w:wordWrap/>
        <w:topLinePunct w:val="0"/>
        <w:autoSpaceDE/>
        <w:autoSpaceDN/>
        <w:bidi w:val="0"/>
        <w:spacing w:line="56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文星仿宋">
    <w:altName w:val="仿宋"/>
    <w:panose1 w:val="00000000000000000000"/>
    <w:charset w:val="00"/>
    <w:family w:val="auto"/>
    <w:pitch w:val="default"/>
    <w:sig w:usb0="00000000" w:usb1="00000000" w:usb2="0000001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0D414">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54A53">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63DB">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7DFE6">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DEDA8">
    <w:pPr>
      <w:pStyle w:val="1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0A025">
                          <w:pPr>
                            <w:pStyle w:val="7"/>
                            <w:ind w:firstLine="5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17</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9F0A025">
                    <w:pPr>
                      <w:pStyle w:val="7"/>
                      <w:ind w:firstLine="5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17</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p w14:paraId="2E6FD26A">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6C6F4">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B4B1">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D962C">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CB298">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xMzk4NDMyMjZmZDUwNzZiZDkxY2FhNGIyOTFjNjcifQ=="/>
  </w:docVars>
  <w:rsids>
    <w:rsidRoot w:val="00100B0F"/>
    <w:rsid w:val="0000022F"/>
    <w:rsid w:val="0000307C"/>
    <w:rsid w:val="000032E1"/>
    <w:rsid w:val="000074F8"/>
    <w:rsid w:val="00013365"/>
    <w:rsid w:val="00014B53"/>
    <w:rsid w:val="00014EBE"/>
    <w:rsid w:val="00016253"/>
    <w:rsid w:val="00017D92"/>
    <w:rsid w:val="0002033A"/>
    <w:rsid w:val="00021099"/>
    <w:rsid w:val="00021CD7"/>
    <w:rsid w:val="000240D8"/>
    <w:rsid w:val="00024F65"/>
    <w:rsid w:val="00027855"/>
    <w:rsid w:val="0002790D"/>
    <w:rsid w:val="00027A93"/>
    <w:rsid w:val="00030200"/>
    <w:rsid w:val="00033335"/>
    <w:rsid w:val="0003403B"/>
    <w:rsid w:val="0003432E"/>
    <w:rsid w:val="00035C7E"/>
    <w:rsid w:val="0003741E"/>
    <w:rsid w:val="00037B0A"/>
    <w:rsid w:val="00041DF2"/>
    <w:rsid w:val="0004267E"/>
    <w:rsid w:val="0004451B"/>
    <w:rsid w:val="00044550"/>
    <w:rsid w:val="000470C5"/>
    <w:rsid w:val="00050B7D"/>
    <w:rsid w:val="0005124C"/>
    <w:rsid w:val="00051431"/>
    <w:rsid w:val="0005423C"/>
    <w:rsid w:val="000554A3"/>
    <w:rsid w:val="00055F0B"/>
    <w:rsid w:val="0005709F"/>
    <w:rsid w:val="0006122B"/>
    <w:rsid w:val="00061A40"/>
    <w:rsid w:val="00067586"/>
    <w:rsid w:val="0007185D"/>
    <w:rsid w:val="00071AEE"/>
    <w:rsid w:val="00080FEB"/>
    <w:rsid w:val="00081320"/>
    <w:rsid w:val="00082131"/>
    <w:rsid w:val="000821C2"/>
    <w:rsid w:val="00083789"/>
    <w:rsid w:val="0008405A"/>
    <w:rsid w:val="0008525A"/>
    <w:rsid w:val="000858CC"/>
    <w:rsid w:val="00086C53"/>
    <w:rsid w:val="0008710B"/>
    <w:rsid w:val="00087917"/>
    <w:rsid w:val="000905B8"/>
    <w:rsid w:val="00090B62"/>
    <w:rsid w:val="00090DA1"/>
    <w:rsid w:val="000910BD"/>
    <w:rsid w:val="0009144A"/>
    <w:rsid w:val="00092DB1"/>
    <w:rsid w:val="00093A5D"/>
    <w:rsid w:val="000944E7"/>
    <w:rsid w:val="0009751C"/>
    <w:rsid w:val="000A1792"/>
    <w:rsid w:val="000A42BF"/>
    <w:rsid w:val="000A4858"/>
    <w:rsid w:val="000A6C5D"/>
    <w:rsid w:val="000B0297"/>
    <w:rsid w:val="000B2AF3"/>
    <w:rsid w:val="000B5F70"/>
    <w:rsid w:val="000B6AF1"/>
    <w:rsid w:val="000B73F5"/>
    <w:rsid w:val="000C05B5"/>
    <w:rsid w:val="000C0A36"/>
    <w:rsid w:val="000C1655"/>
    <w:rsid w:val="000C326E"/>
    <w:rsid w:val="000C63AD"/>
    <w:rsid w:val="000C68D6"/>
    <w:rsid w:val="000D0069"/>
    <w:rsid w:val="000D0BCE"/>
    <w:rsid w:val="000D4940"/>
    <w:rsid w:val="000D5662"/>
    <w:rsid w:val="000D568D"/>
    <w:rsid w:val="000E145D"/>
    <w:rsid w:val="000E215B"/>
    <w:rsid w:val="000E420E"/>
    <w:rsid w:val="000E519E"/>
    <w:rsid w:val="000E51B6"/>
    <w:rsid w:val="000E5645"/>
    <w:rsid w:val="000E59E1"/>
    <w:rsid w:val="000E796E"/>
    <w:rsid w:val="000F0B2B"/>
    <w:rsid w:val="00100B0F"/>
    <w:rsid w:val="00100DA7"/>
    <w:rsid w:val="001126CE"/>
    <w:rsid w:val="0011495B"/>
    <w:rsid w:val="00116AA1"/>
    <w:rsid w:val="00116C27"/>
    <w:rsid w:val="0011785C"/>
    <w:rsid w:val="001222CD"/>
    <w:rsid w:val="00124B60"/>
    <w:rsid w:val="00130668"/>
    <w:rsid w:val="00130F8C"/>
    <w:rsid w:val="00130FE0"/>
    <w:rsid w:val="001319DA"/>
    <w:rsid w:val="00136C37"/>
    <w:rsid w:val="00136D79"/>
    <w:rsid w:val="0014113D"/>
    <w:rsid w:val="0014119D"/>
    <w:rsid w:val="00143796"/>
    <w:rsid w:val="00144ACB"/>
    <w:rsid w:val="00145B8B"/>
    <w:rsid w:val="001467DB"/>
    <w:rsid w:val="00147FF1"/>
    <w:rsid w:val="00150716"/>
    <w:rsid w:val="00151D2C"/>
    <w:rsid w:val="001537AC"/>
    <w:rsid w:val="00156106"/>
    <w:rsid w:val="00156784"/>
    <w:rsid w:val="001611EE"/>
    <w:rsid w:val="0016450C"/>
    <w:rsid w:val="00164BF3"/>
    <w:rsid w:val="001652FA"/>
    <w:rsid w:val="00165485"/>
    <w:rsid w:val="001654C6"/>
    <w:rsid w:val="0017061C"/>
    <w:rsid w:val="001706DC"/>
    <w:rsid w:val="00170F95"/>
    <w:rsid w:val="001711D7"/>
    <w:rsid w:val="001722CC"/>
    <w:rsid w:val="00172742"/>
    <w:rsid w:val="00172F13"/>
    <w:rsid w:val="001735F0"/>
    <w:rsid w:val="00173891"/>
    <w:rsid w:val="00176C5F"/>
    <w:rsid w:val="0018013B"/>
    <w:rsid w:val="001814F6"/>
    <w:rsid w:val="00182537"/>
    <w:rsid w:val="0018628C"/>
    <w:rsid w:val="00191836"/>
    <w:rsid w:val="001947CA"/>
    <w:rsid w:val="001969B9"/>
    <w:rsid w:val="00197328"/>
    <w:rsid w:val="001A0039"/>
    <w:rsid w:val="001A19C2"/>
    <w:rsid w:val="001A5791"/>
    <w:rsid w:val="001B1B8D"/>
    <w:rsid w:val="001B2314"/>
    <w:rsid w:val="001B4F43"/>
    <w:rsid w:val="001B53C5"/>
    <w:rsid w:val="001C0F93"/>
    <w:rsid w:val="001C3326"/>
    <w:rsid w:val="001C43BB"/>
    <w:rsid w:val="001C55EC"/>
    <w:rsid w:val="001C5605"/>
    <w:rsid w:val="001C681F"/>
    <w:rsid w:val="001D290D"/>
    <w:rsid w:val="001D3935"/>
    <w:rsid w:val="001D4687"/>
    <w:rsid w:val="001D5359"/>
    <w:rsid w:val="001D6107"/>
    <w:rsid w:val="001D7521"/>
    <w:rsid w:val="001E0DC4"/>
    <w:rsid w:val="001E34AA"/>
    <w:rsid w:val="001E376C"/>
    <w:rsid w:val="001E4421"/>
    <w:rsid w:val="001E4833"/>
    <w:rsid w:val="001E4B0E"/>
    <w:rsid w:val="001E59CE"/>
    <w:rsid w:val="001E59DB"/>
    <w:rsid w:val="001E6C4B"/>
    <w:rsid w:val="001E7049"/>
    <w:rsid w:val="001F0C0D"/>
    <w:rsid w:val="001F21BA"/>
    <w:rsid w:val="001F31B3"/>
    <w:rsid w:val="001F6186"/>
    <w:rsid w:val="001F619D"/>
    <w:rsid w:val="001F68FF"/>
    <w:rsid w:val="001F6A07"/>
    <w:rsid w:val="001F76BB"/>
    <w:rsid w:val="002015ED"/>
    <w:rsid w:val="00202B92"/>
    <w:rsid w:val="00206201"/>
    <w:rsid w:val="00207D01"/>
    <w:rsid w:val="0021388D"/>
    <w:rsid w:val="00215969"/>
    <w:rsid w:val="0022028A"/>
    <w:rsid w:val="00222FC6"/>
    <w:rsid w:val="00223130"/>
    <w:rsid w:val="0022363D"/>
    <w:rsid w:val="00223B2E"/>
    <w:rsid w:val="0023059A"/>
    <w:rsid w:val="00231757"/>
    <w:rsid w:val="002347D3"/>
    <w:rsid w:val="00234F99"/>
    <w:rsid w:val="002351A1"/>
    <w:rsid w:val="00236C59"/>
    <w:rsid w:val="00241400"/>
    <w:rsid w:val="00241626"/>
    <w:rsid w:val="00241718"/>
    <w:rsid w:val="00242642"/>
    <w:rsid w:val="002434D4"/>
    <w:rsid w:val="0024467C"/>
    <w:rsid w:val="00245D31"/>
    <w:rsid w:val="00246C03"/>
    <w:rsid w:val="0024778C"/>
    <w:rsid w:val="002528E8"/>
    <w:rsid w:val="00252E68"/>
    <w:rsid w:val="0025467E"/>
    <w:rsid w:val="00254FD7"/>
    <w:rsid w:val="00261E7E"/>
    <w:rsid w:val="0026270C"/>
    <w:rsid w:val="002628AE"/>
    <w:rsid w:val="002659E0"/>
    <w:rsid w:val="00265CC5"/>
    <w:rsid w:val="00265F5B"/>
    <w:rsid w:val="00266C3F"/>
    <w:rsid w:val="00270011"/>
    <w:rsid w:val="002714CA"/>
    <w:rsid w:val="002806AE"/>
    <w:rsid w:val="002859D7"/>
    <w:rsid w:val="002877A2"/>
    <w:rsid w:val="00290AE5"/>
    <w:rsid w:val="002914ED"/>
    <w:rsid w:val="00291A9B"/>
    <w:rsid w:val="002936E4"/>
    <w:rsid w:val="0029389E"/>
    <w:rsid w:val="00294738"/>
    <w:rsid w:val="00295F64"/>
    <w:rsid w:val="002A5A76"/>
    <w:rsid w:val="002A5DF4"/>
    <w:rsid w:val="002A7D5C"/>
    <w:rsid w:val="002B0335"/>
    <w:rsid w:val="002B4461"/>
    <w:rsid w:val="002C3D10"/>
    <w:rsid w:val="002D10BD"/>
    <w:rsid w:val="002D35D4"/>
    <w:rsid w:val="002D79F1"/>
    <w:rsid w:val="002E2AB5"/>
    <w:rsid w:val="002E2CD1"/>
    <w:rsid w:val="002E4BB2"/>
    <w:rsid w:val="002E5043"/>
    <w:rsid w:val="002E7678"/>
    <w:rsid w:val="002E7BA2"/>
    <w:rsid w:val="002F1FC8"/>
    <w:rsid w:val="002F36F7"/>
    <w:rsid w:val="002F3B57"/>
    <w:rsid w:val="002F5905"/>
    <w:rsid w:val="002F6B2D"/>
    <w:rsid w:val="002F6EEE"/>
    <w:rsid w:val="00304F5C"/>
    <w:rsid w:val="00305D6D"/>
    <w:rsid w:val="00306914"/>
    <w:rsid w:val="00306AED"/>
    <w:rsid w:val="00311699"/>
    <w:rsid w:val="00317DF0"/>
    <w:rsid w:val="00323B1B"/>
    <w:rsid w:val="00323DD0"/>
    <w:rsid w:val="00324167"/>
    <w:rsid w:val="00327F4E"/>
    <w:rsid w:val="003302CA"/>
    <w:rsid w:val="00330C6F"/>
    <w:rsid w:val="00334BA3"/>
    <w:rsid w:val="00335E2B"/>
    <w:rsid w:val="00343FF1"/>
    <w:rsid w:val="003459FA"/>
    <w:rsid w:val="00346454"/>
    <w:rsid w:val="003468FD"/>
    <w:rsid w:val="00351C98"/>
    <w:rsid w:val="003522D2"/>
    <w:rsid w:val="00352332"/>
    <w:rsid w:val="0035305D"/>
    <w:rsid w:val="003540B6"/>
    <w:rsid w:val="00355273"/>
    <w:rsid w:val="00360755"/>
    <w:rsid w:val="0036118B"/>
    <w:rsid w:val="0036181E"/>
    <w:rsid w:val="00363C3E"/>
    <w:rsid w:val="0036403C"/>
    <w:rsid w:val="0036436A"/>
    <w:rsid w:val="003644EB"/>
    <w:rsid w:val="00364AD1"/>
    <w:rsid w:val="003718B2"/>
    <w:rsid w:val="003726CA"/>
    <w:rsid w:val="00374558"/>
    <w:rsid w:val="0037671B"/>
    <w:rsid w:val="003768AB"/>
    <w:rsid w:val="00380A6A"/>
    <w:rsid w:val="00383293"/>
    <w:rsid w:val="003858C8"/>
    <w:rsid w:val="0038598C"/>
    <w:rsid w:val="00385F8A"/>
    <w:rsid w:val="00386A90"/>
    <w:rsid w:val="00387552"/>
    <w:rsid w:val="00390543"/>
    <w:rsid w:val="0039070F"/>
    <w:rsid w:val="00393CEA"/>
    <w:rsid w:val="00393E5A"/>
    <w:rsid w:val="00394A9B"/>
    <w:rsid w:val="00394ED7"/>
    <w:rsid w:val="00395355"/>
    <w:rsid w:val="003A010F"/>
    <w:rsid w:val="003A02CE"/>
    <w:rsid w:val="003A036D"/>
    <w:rsid w:val="003A0D2A"/>
    <w:rsid w:val="003A116E"/>
    <w:rsid w:val="003A2ACA"/>
    <w:rsid w:val="003A306B"/>
    <w:rsid w:val="003A3CCF"/>
    <w:rsid w:val="003A5F43"/>
    <w:rsid w:val="003A77CE"/>
    <w:rsid w:val="003B1426"/>
    <w:rsid w:val="003B1CF7"/>
    <w:rsid w:val="003B3E28"/>
    <w:rsid w:val="003B45EA"/>
    <w:rsid w:val="003C04F4"/>
    <w:rsid w:val="003C0920"/>
    <w:rsid w:val="003C09F6"/>
    <w:rsid w:val="003C41A2"/>
    <w:rsid w:val="003C7423"/>
    <w:rsid w:val="003D022F"/>
    <w:rsid w:val="003D16D1"/>
    <w:rsid w:val="003D1A30"/>
    <w:rsid w:val="003D201F"/>
    <w:rsid w:val="003D6894"/>
    <w:rsid w:val="003E276F"/>
    <w:rsid w:val="003E40F5"/>
    <w:rsid w:val="003E472D"/>
    <w:rsid w:val="003E63A9"/>
    <w:rsid w:val="003E6C35"/>
    <w:rsid w:val="003F1392"/>
    <w:rsid w:val="003F4AA5"/>
    <w:rsid w:val="003F5B3E"/>
    <w:rsid w:val="003F694D"/>
    <w:rsid w:val="0040085D"/>
    <w:rsid w:val="004014E2"/>
    <w:rsid w:val="004079BA"/>
    <w:rsid w:val="004101AA"/>
    <w:rsid w:val="0041616A"/>
    <w:rsid w:val="00416B87"/>
    <w:rsid w:val="00417CD4"/>
    <w:rsid w:val="00423B9B"/>
    <w:rsid w:val="0042536E"/>
    <w:rsid w:val="0042623F"/>
    <w:rsid w:val="00430494"/>
    <w:rsid w:val="00434CAA"/>
    <w:rsid w:val="00435239"/>
    <w:rsid w:val="004358E1"/>
    <w:rsid w:val="0043676F"/>
    <w:rsid w:val="00437CB8"/>
    <w:rsid w:val="00441FCA"/>
    <w:rsid w:val="00452A12"/>
    <w:rsid w:val="0045331D"/>
    <w:rsid w:val="004546D6"/>
    <w:rsid w:val="00457BAE"/>
    <w:rsid w:val="00461CE7"/>
    <w:rsid w:val="00462640"/>
    <w:rsid w:val="0046276D"/>
    <w:rsid w:val="00471B85"/>
    <w:rsid w:val="004729CC"/>
    <w:rsid w:val="00475602"/>
    <w:rsid w:val="00475FAB"/>
    <w:rsid w:val="00476F1E"/>
    <w:rsid w:val="004803F7"/>
    <w:rsid w:val="004875F3"/>
    <w:rsid w:val="004925F2"/>
    <w:rsid w:val="00494CF1"/>
    <w:rsid w:val="00496AFB"/>
    <w:rsid w:val="004A0592"/>
    <w:rsid w:val="004A6760"/>
    <w:rsid w:val="004C2DCE"/>
    <w:rsid w:val="004C4AC0"/>
    <w:rsid w:val="004C5A40"/>
    <w:rsid w:val="004C6798"/>
    <w:rsid w:val="004C7E6D"/>
    <w:rsid w:val="004D0F99"/>
    <w:rsid w:val="004D25BF"/>
    <w:rsid w:val="004D6220"/>
    <w:rsid w:val="004D671C"/>
    <w:rsid w:val="004D72B1"/>
    <w:rsid w:val="004E0AC3"/>
    <w:rsid w:val="004E2657"/>
    <w:rsid w:val="004E5BAB"/>
    <w:rsid w:val="004E6981"/>
    <w:rsid w:val="004F2407"/>
    <w:rsid w:val="004F261E"/>
    <w:rsid w:val="004F2744"/>
    <w:rsid w:val="004F5F53"/>
    <w:rsid w:val="00500275"/>
    <w:rsid w:val="005006E2"/>
    <w:rsid w:val="00507967"/>
    <w:rsid w:val="00507E2B"/>
    <w:rsid w:val="005117CF"/>
    <w:rsid w:val="005121EB"/>
    <w:rsid w:val="005160E2"/>
    <w:rsid w:val="00517A9A"/>
    <w:rsid w:val="00520310"/>
    <w:rsid w:val="00521E8F"/>
    <w:rsid w:val="0052243D"/>
    <w:rsid w:val="0052263E"/>
    <w:rsid w:val="00523158"/>
    <w:rsid w:val="005248ED"/>
    <w:rsid w:val="00531E0A"/>
    <w:rsid w:val="00532B42"/>
    <w:rsid w:val="0053425F"/>
    <w:rsid w:val="005365CA"/>
    <w:rsid w:val="005404AE"/>
    <w:rsid w:val="00540675"/>
    <w:rsid w:val="005435FE"/>
    <w:rsid w:val="005471BA"/>
    <w:rsid w:val="0055010A"/>
    <w:rsid w:val="005574F3"/>
    <w:rsid w:val="00561575"/>
    <w:rsid w:val="005615F2"/>
    <w:rsid w:val="00561ECC"/>
    <w:rsid w:val="00564638"/>
    <w:rsid w:val="0056688C"/>
    <w:rsid w:val="00570338"/>
    <w:rsid w:val="00572189"/>
    <w:rsid w:val="00572E5D"/>
    <w:rsid w:val="00573417"/>
    <w:rsid w:val="00574D74"/>
    <w:rsid w:val="005816CD"/>
    <w:rsid w:val="00583406"/>
    <w:rsid w:val="00583BFA"/>
    <w:rsid w:val="005848EC"/>
    <w:rsid w:val="00584BF7"/>
    <w:rsid w:val="00590D3B"/>
    <w:rsid w:val="005938FA"/>
    <w:rsid w:val="005949AF"/>
    <w:rsid w:val="00594C87"/>
    <w:rsid w:val="00596EA7"/>
    <w:rsid w:val="00596F44"/>
    <w:rsid w:val="005A0387"/>
    <w:rsid w:val="005A0627"/>
    <w:rsid w:val="005A0BEE"/>
    <w:rsid w:val="005B009A"/>
    <w:rsid w:val="005B1BFF"/>
    <w:rsid w:val="005B2411"/>
    <w:rsid w:val="005B469B"/>
    <w:rsid w:val="005B49FF"/>
    <w:rsid w:val="005B4B86"/>
    <w:rsid w:val="005B5C67"/>
    <w:rsid w:val="005B5CA2"/>
    <w:rsid w:val="005B67E2"/>
    <w:rsid w:val="005B77F1"/>
    <w:rsid w:val="005B7DC6"/>
    <w:rsid w:val="005C51AB"/>
    <w:rsid w:val="005C5AD6"/>
    <w:rsid w:val="005C784D"/>
    <w:rsid w:val="005D33D6"/>
    <w:rsid w:val="005D3AF0"/>
    <w:rsid w:val="005E2A6C"/>
    <w:rsid w:val="005E4395"/>
    <w:rsid w:val="005E4D2D"/>
    <w:rsid w:val="005E617D"/>
    <w:rsid w:val="005E7940"/>
    <w:rsid w:val="005F01BA"/>
    <w:rsid w:val="005F13F2"/>
    <w:rsid w:val="005F4548"/>
    <w:rsid w:val="005F5871"/>
    <w:rsid w:val="005F5C20"/>
    <w:rsid w:val="005F7F6C"/>
    <w:rsid w:val="00600EFD"/>
    <w:rsid w:val="00605AB6"/>
    <w:rsid w:val="00606991"/>
    <w:rsid w:val="00606B3D"/>
    <w:rsid w:val="0060733B"/>
    <w:rsid w:val="00607573"/>
    <w:rsid w:val="00611708"/>
    <w:rsid w:val="0061485D"/>
    <w:rsid w:val="00615A37"/>
    <w:rsid w:val="00621F3F"/>
    <w:rsid w:val="00622AC4"/>
    <w:rsid w:val="00626F42"/>
    <w:rsid w:val="006329FC"/>
    <w:rsid w:val="00635397"/>
    <w:rsid w:val="0063741E"/>
    <w:rsid w:val="00642B06"/>
    <w:rsid w:val="006432CA"/>
    <w:rsid w:val="00644A8C"/>
    <w:rsid w:val="006478B2"/>
    <w:rsid w:val="006513CE"/>
    <w:rsid w:val="006524E7"/>
    <w:rsid w:val="00653133"/>
    <w:rsid w:val="00655721"/>
    <w:rsid w:val="00655909"/>
    <w:rsid w:val="00656ACD"/>
    <w:rsid w:val="00657929"/>
    <w:rsid w:val="00660723"/>
    <w:rsid w:val="00660782"/>
    <w:rsid w:val="00661EF7"/>
    <w:rsid w:val="00663BF3"/>
    <w:rsid w:val="0066410D"/>
    <w:rsid w:val="006724F2"/>
    <w:rsid w:val="0067318F"/>
    <w:rsid w:val="0067335C"/>
    <w:rsid w:val="00673EBD"/>
    <w:rsid w:val="0067746B"/>
    <w:rsid w:val="006813E6"/>
    <w:rsid w:val="0068343B"/>
    <w:rsid w:val="006835EF"/>
    <w:rsid w:val="0068622F"/>
    <w:rsid w:val="00691BFE"/>
    <w:rsid w:val="00691FA6"/>
    <w:rsid w:val="006943C0"/>
    <w:rsid w:val="00694D97"/>
    <w:rsid w:val="006A29C6"/>
    <w:rsid w:val="006A4F17"/>
    <w:rsid w:val="006A5A77"/>
    <w:rsid w:val="006B0708"/>
    <w:rsid w:val="006B1E13"/>
    <w:rsid w:val="006B2376"/>
    <w:rsid w:val="006B29AC"/>
    <w:rsid w:val="006B582E"/>
    <w:rsid w:val="006B7812"/>
    <w:rsid w:val="006B7915"/>
    <w:rsid w:val="006C5D48"/>
    <w:rsid w:val="006C6A6D"/>
    <w:rsid w:val="006D0837"/>
    <w:rsid w:val="006D53E6"/>
    <w:rsid w:val="006D5FA0"/>
    <w:rsid w:val="006D62D4"/>
    <w:rsid w:val="006D7607"/>
    <w:rsid w:val="006D7AA3"/>
    <w:rsid w:val="006E1E47"/>
    <w:rsid w:val="006E5FAD"/>
    <w:rsid w:val="006E60D5"/>
    <w:rsid w:val="006E67FE"/>
    <w:rsid w:val="006E73CE"/>
    <w:rsid w:val="006F20FD"/>
    <w:rsid w:val="006F2290"/>
    <w:rsid w:val="006F402C"/>
    <w:rsid w:val="006F54C9"/>
    <w:rsid w:val="006F60A3"/>
    <w:rsid w:val="007017F6"/>
    <w:rsid w:val="00701F15"/>
    <w:rsid w:val="00703387"/>
    <w:rsid w:val="007066E5"/>
    <w:rsid w:val="007067CC"/>
    <w:rsid w:val="00706851"/>
    <w:rsid w:val="00711678"/>
    <w:rsid w:val="00712A07"/>
    <w:rsid w:val="00712D21"/>
    <w:rsid w:val="007154B4"/>
    <w:rsid w:val="007157A5"/>
    <w:rsid w:val="00717FB1"/>
    <w:rsid w:val="00720B39"/>
    <w:rsid w:val="00722096"/>
    <w:rsid w:val="00722475"/>
    <w:rsid w:val="00722783"/>
    <w:rsid w:val="00722CDF"/>
    <w:rsid w:val="007278FE"/>
    <w:rsid w:val="007300FB"/>
    <w:rsid w:val="0073092D"/>
    <w:rsid w:val="007311B8"/>
    <w:rsid w:val="0073168C"/>
    <w:rsid w:val="0073240C"/>
    <w:rsid w:val="0074095D"/>
    <w:rsid w:val="00740BB4"/>
    <w:rsid w:val="0074229C"/>
    <w:rsid w:val="007428E0"/>
    <w:rsid w:val="007457D8"/>
    <w:rsid w:val="00746A92"/>
    <w:rsid w:val="00746C5A"/>
    <w:rsid w:val="00750ADC"/>
    <w:rsid w:val="0075125A"/>
    <w:rsid w:val="007539C1"/>
    <w:rsid w:val="0075480F"/>
    <w:rsid w:val="00756CDC"/>
    <w:rsid w:val="0076162E"/>
    <w:rsid w:val="00761C5E"/>
    <w:rsid w:val="00761F5B"/>
    <w:rsid w:val="007664B5"/>
    <w:rsid w:val="00766A73"/>
    <w:rsid w:val="007670AC"/>
    <w:rsid w:val="00772714"/>
    <w:rsid w:val="007747A6"/>
    <w:rsid w:val="00774D22"/>
    <w:rsid w:val="00776720"/>
    <w:rsid w:val="00777A87"/>
    <w:rsid w:val="007801B3"/>
    <w:rsid w:val="00780BF2"/>
    <w:rsid w:val="00782957"/>
    <w:rsid w:val="00782E9B"/>
    <w:rsid w:val="00785985"/>
    <w:rsid w:val="00790704"/>
    <w:rsid w:val="00790C43"/>
    <w:rsid w:val="00791902"/>
    <w:rsid w:val="00792605"/>
    <w:rsid w:val="00792817"/>
    <w:rsid w:val="007954CF"/>
    <w:rsid w:val="007956BE"/>
    <w:rsid w:val="007969BB"/>
    <w:rsid w:val="007977F4"/>
    <w:rsid w:val="007A1D4B"/>
    <w:rsid w:val="007A4952"/>
    <w:rsid w:val="007A5CDC"/>
    <w:rsid w:val="007B0BC9"/>
    <w:rsid w:val="007B17E8"/>
    <w:rsid w:val="007B2E94"/>
    <w:rsid w:val="007B4471"/>
    <w:rsid w:val="007B4DBE"/>
    <w:rsid w:val="007B7120"/>
    <w:rsid w:val="007B72AC"/>
    <w:rsid w:val="007C079C"/>
    <w:rsid w:val="007C1575"/>
    <w:rsid w:val="007C76FD"/>
    <w:rsid w:val="007D10CC"/>
    <w:rsid w:val="007D362A"/>
    <w:rsid w:val="007D40E9"/>
    <w:rsid w:val="007D5340"/>
    <w:rsid w:val="007D595F"/>
    <w:rsid w:val="007D6D98"/>
    <w:rsid w:val="007D7BEF"/>
    <w:rsid w:val="007E1F5D"/>
    <w:rsid w:val="007E3D4A"/>
    <w:rsid w:val="007E50AC"/>
    <w:rsid w:val="007E5E79"/>
    <w:rsid w:val="007E7727"/>
    <w:rsid w:val="007F00DD"/>
    <w:rsid w:val="007F060F"/>
    <w:rsid w:val="007F1283"/>
    <w:rsid w:val="007F1D08"/>
    <w:rsid w:val="007F390F"/>
    <w:rsid w:val="007F5A17"/>
    <w:rsid w:val="007F5C03"/>
    <w:rsid w:val="007F6849"/>
    <w:rsid w:val="00801F1D"/>
    <w:rsid w:val="008026D8"/>
    <w:rsid w:val="00804314"/>
    <w:rsid w:val="00804B26"/>
    <w:rsid w:val="00807040"/>
    <w:rsid w:val="0080788B"/>
    <w:rsid w:val="00812AA9"/>
    <w:rsid w:val="008143C9"/>
    <w:rsid w:val="008166D4"/>
    <w:rsid w:val="0081686D"/>
    <w:rsid w:val="00817761"/>
    <w:rsid w:val="00824ADC"/>
    <w:rsid w:val="008259E2"/>
    <w:rsid w:val="008279E0"/>
    <w:rsid w:val="00827F7A"/>
    <w:rsid w:val="00833B3E"/>
    <w:rsid w:val="00833D69"/>
    <w:rsid w:val="008358AE"/>
    <w:rsid w:val="00840DE0"/>
    <w:rsid w:val="00841CE9"/>
    <w:rsid w:val="00841E04"/>
    <w:rsid w:val="00842BD1"/>
    <w:rsid w:val="008434B1"/>
    <w:rsid w:val="0084454B"/>
    <w:rsid w:val="00847E0E"/>
    <w:rsid w:val="00850A8E"/>
    <w:rsid w:val="0085136C"/>
    <w:rsid w:val="00852301"/>
    <w:rsid w:val="00852375"/>
    <w:rsid w:val="008524B1"/>
    <w:rsid w:val="0085289D"/>
    <w:rsid w:val="00855D63"/>
    <w:rsid w:val="00856715"/>
    <w:rsid w:val="00856984"/>
    <w:rsid w:val="00857F71"/>
    <w:rsid w:val="00861AC3"/>
    <w:rsid w:val="0086456F"/>
    <w:rsid w:val="00866025"/>
    <w:rsid w:val="00866133"/>
    <w:rsid w:val="008679DC"/>
    <w:rsid w:val="00871CE4"/>
    <w:rsid w:val="00871FF0"/>
    <w:rsid w:val="00873EB0"/>
    <w:rsid w:val="00875DCC"/>
    <w:rsid w:val="00876E4E"/>
    <w:rsid w:val="00877B60"/>
    <w:rsid w:val="008808DB"/>
    <w:rsid w:val="00885543"/>
    <w:rsid w:val="00885F40"/>
    <w:rsid w:val="00891309"/>
    <w:rsid w:val="008932D8"/>
    <w:rsid w:val="0089444D"/>
    <w:rsid w:val="00894CA1"/>
    <w:rsid w:val="008960B5"/>
    <w:rsid w:val="008A0982"/>
    <w:rsid w:val="008A4AD4"/>
    <w:rsid w:val="008A6673"/>
    <w:rsid w:val="008A75FC"/>
    <w:rsid w:val="008B1818"/>
    <w:rsid w:val="008B2B8A"/>
    <w:rsid w:val="008B2DC5"/>
    <w:rsid w:val="008B3ED9"/>
    <w:rsid w:val="008B59DA"/>
    <w:rsid w:val="008C13DB"/>
    <w:rsid w:val="008C305D"/>
    <w:rsid w:val="008C31D3"/>
    <w:rsid w:val="008C5850"/>
    <w:rsid w:val="008D0338"/>
    <w:rsid w:val="008D23D2"/>
    <w:rsid w:val="008D5607"/>
    <w:rsid w:val="008D6534"/>
    <w:rsid w:val="008E1332"/>
    <w:rsid w:val="008E1710"/>
    <w:rsid w:val="008E2D8E"/>
    <w:rsid w:val="008E6131"/>
    <w:rsid w:val="008E676C"/>
    <w:rsid w:val="008E7058"/>
    <w:rsid w:val="008F7313"/>
    <w:rsid w:val="008F787E"/>
    <w:rsid w:val="0090145B"/>
    <w:rsid w:val="0090322B"/>
    <w:rsid w:val="00906E77"/>
    <w:rsid w:val="009122BA"/>
    <w:rsid w:val="00912CEA"/>
    <w:rsid w:val="009131E6"/>
    <w:rsid w:val="0092304F"/>
    <w:rsid w:val="009244DF"/>
    <w:rsid w:val="00927901"/>
    <w:rsid w:val="00931026"/>
    <w:rsid w:val="0093166C"/>
    <w:rsid w:val="00931958"/>
    <w:rsid w:val="00932310"/>
    <w:rsid w:val="009323A1"/>
    <w:rsid w:val="009323E5"/>
    <w:rsid w:val="009333C7"/>
    <w:rsid w:val="00935FE4"/>
    <w:rsid w:val="00937730"/>
    <w:rsid w:val="00942DD1"/>
    <w:rsid w:val="00942E56"/>
    <w:rsid w:val="00942E81"/>
    <w:rsid w:val="00943CAA"/>
    <w:rsid w:val="00945F00"/>
    <w:rsid w:val="00947004"/>
    <w:rsid w:val="00952CB2"/>
    <w:rsid w:val="00953A70"/>
    <w:rsid w:val="00953F03"/>
    <w:rsid w:val="00954E7D"/>
    <w:rsid w:val="00956C9E"/>
    <w:rsid w:val="00957279"/>
    <w:rsid w:val="009577CF"/>
    <w:rsid w:val="00960552"/>
    <w:rsid w:val="009610FA"/>
    <w:rsid w:val="0096513A"/>
    <w:rsid w:val="00966FFD"/>
    <w:rsid w:val="00974360"/>
    <w:rsid w:val="00974AB2"/>
    <w:rsid w:val="00977EFB"/>
    <w:rsid w:val="009837F7"/>
    <w:rsid w:val="009903AB"/>
    <w:rsid w:val="00991235"/>
    <w:rsid w:val="009934A4"/>
    <w:rsid w:val="009950FF"/>
    <w:rsid w:val="00995AD8"/>
    <w:rsid w:val="00996B6F"/>
    <w:rsid w:val="00996E50"/>
    <w:rsid w:val="009A4116"/>
    <w:rsid w:val="009A4C05"/>
    <w:rsid w:val="009A4E7A"/>
    <w:rsid w:val="009A64D5"/>
    <w:rsid w:val="009A73A8"/>
    <w:rsid w:val="009A7BDF"/>
    <w:rsid w:val="009B2CAD"/>
    <w:rsid w:val="009B65E5"/>
    <w:rsid w:val="009C0E41"/>
    <w:rsid w:val="009C2F02"/>
    <w:rsid w:val="009C375F"/>
    <w:rsid w:val="009C3804"/>
    <w:rsid w:val="009C51E8"/>
    <w:rsid w:val="009C57AF"/>
    <w:rsid w:val="009D140B"/>
    <w:rsid w:val="009D1EF3"/>
    <w:rsid w:val="009D2CC7"/>
    <w:rsid w:val="009D375E"/>
    <w:rsid w:val="009D43B3"/>
    <w:rsid w:val="009D4CD6"/>
    <w:rsid w:val="009D5BD3"/>
    <w:rsid w:val="009E25E0"/>
    <w:rsid w:val="009E31D0"/>
    <w:rsid w:val="009E350F"/>
    <w:rsid w:val="009E43FC"/>
    <w:rsid w:val="009E773D"/>
    <w:rsid w:val="009F0980"/>
    <w:rsid w:val="009F37E9"/>
    <w:rsid w:val="009F3CEF"/>
    <w:rsid w:val="009F3EA5"/>
    <w:rsid w:val="009F4440"/>
    <w:rsid w:val="00A02704"/>
    <w:rsid w:val="00A028C3"/>
    <w:rsid w:val="00A0513D"/>
    <w:rsid w:val="00A07951"/>
    <w:rsid w:val="00A10433"/>
    <w:rsid w:val="00A10489"/>
    <w:rsid w:val="00A10F20"/>
    <w:rsid w:val="00A1224B"/>
    <w:rsid w:val="00A12B81"/>
    <w:rsid w:val="00A14E0E"/>
    <w:rsid w:val="00A14FF0"/>
    <w:rsid w:val="00A15117"/>
    <w:rsid w:val="00A15B35"/>
    <w:rsid w:val="00A20986"/>
    <w:rsid w:val="00A26EBD"/>
    <w:rsid w:val="00A319D4"/>
    <w:rsid w:val="00A323EC"/>
    <w:rsid w:val="00A329FE"/>
    <w:rsid w:val="00A32E60"/>
    <w:rsid w:val="00A336A3"/>
    <w:rsid w:val="00A339FF"/>
    <w:rsid w:val="00A3588A"/>
    <w:rsid w:val="00A374A9"/>
    <w:rsid w:val="00A403BC"/>
    <w:rsid w:val="00A40792"/>
    <w:rsid w:val="00A40E1F"/>
    <w:rsid w:val="00A42E2F"/>
    <w:rsid w:val="00A4703A"/>
    <w:rsid w:val="00A47408"/>
    <w:rsid w:val="00A50045"/>
    <w:rsid w:val="00A52020"/>
    <w:rsid w:val="00A60798"/>
    <w:rsid w:val="00A63D50"/>
    <w:rsid w:val="00A6407B"/>
    <w:rsid w:val="00A66140"/>
    <w:rsid w:val="00A708BA"/>
    <w:rsid w:val="00A75A5B"/>
    <w:rsid w:val="00A764F8"/>
    <w:rsid w:val="00A915FD"/>
    <w:rsid w:val="00A94527"/>
    <w:rsid w:val="00A94AFE"/>
    <w:rsid w:val="00A956D2"/>
    <w:rsid w:val="00AA0C6D"/>
    <w:rsid w:val="00AA0EB9"/>
    <w:rsid w:val="00AA12D2"/>
    <w:rsid w:val="00AA1B89"/>
    <w:rsid w:val="00AA27D4"/>
    <w:rsid w:val="00AA4240"/>
    <w:rsid w:val="00AA64AD"/>
    <w:rsid w:val="00AA738D"/>
    <w:rsid w:val="00AB03EB"/>
    <w:rsid w:val="00AB1984"/>
    <w:rsid w:val="00AB4165"/>
    <w:rsid w:val="00AB5560"/>
    <w:rsid w:val="00AB6303"/>
    <w:rsid w:val="00AB7AD9"/>
    <w:rsid w:val="00AC0901"/>
    <w:rsid w:val="00AC1CBF"/>
    <w:rsid w:val="00AC4DCB"/>
    <w:rsid w:val="00AC69D4"/>
    <w:rsid w:val="00AC7703"/>
    <w:rsid w:val="00AD25BB"/>
    <w:rsid w:val="00AD2AF8"/>
    <w:rsid w:val="00AD5C57"/>
    <w:rsid w:val="00AE076D"/>
    <w:rsid w:val="00AE39E1"/>
    <w:rsid w:val="00AE3CBB"/>
    <w:rsid w:val="00AE6CAF"/>
    <w:rsid w:val="00AF1CE0"/>
    <w:rsid w:val="00AF3055"/>
    <w:rsid w:val="00AF5023"/>
    <w:rsid w:val="00AF5DFF"/>
    <w:rsid w:val="00B031E8"/>
    <w:rsid w:val="00B048F7"/>
    <w:rsid w:val="00B049C0"/>
    <w:rsid w:val="00B05FBB"/>
    <w:rsid w:val="00B06691"/>
    <w:rsid w:val="00B07CC3"/>
    <w:rsid w:val="00B103A9"/>
    <w:rsid w:val="00B121B1"/>
    <w:rsid w:val="00B122FB"/>
    <w:rsid w:val="00B124D8"/>
    <w:rsid w:val="00B15EDF"/>
    <w:rsid w:val="00B17882"/>
    <w:rsid w:val="00B17F5D"/>
    <w:rsid w:val="00B17F72"/>
    <w:rsid w:val="00B25854"/>
    <w:rsid w:val="00B356B0"/>
    <w:rsid w:val="00B36896"/>
    <w:rsid w:val="00B36E5B"/>
    <w:rsid w:val="00B37719"/>
    <w:rsid w:val="00B37D4A"/>
    <w:rsid w:val="00B37EF3"/>
    <w:rsid w:val="00B41970"/>
    <w:rsid w:val="00B451F9"/>
    <w:rsid w:val="00B4700F"/>
    <w:rsid w:val="00B47A0F"/>
    <w:rsid w:val="00B51C18"/>
    <w:rsid w:val="00B526CD"/>
    <w:rsid w:val="00B52CCA"/>
    <w:rsid w:val="00B55488"/>
    <w:rsid w:val="00B643F6"/>
    <w:rsid w:val="00B6481D"/>
    <w:rsid w:val="00B65335"/>
    <w:rsid w:val="00B67594"/>
    <w:rsid w:val="00B70255"/>
    <w:rsid w:val="00B70338"/>
    <w:rsid w:val="00B723F6"/>
    <w:rsid w:val="00B76BB5"/>
    <w:rsid w:val="00B776C3"/>
    <w:rsid w:val="00B779EE"/>
    <w:rsid w:val="00B84166"/>
    <w:rsid w:val="00B859A8"/>
    <w:rsid w:val="00B85D04"/>
    <w:rsid w:val="00B878DA"/>
    <w:rsid w:val="00B9559C"/>
    <w:rsid w:val="00B95A37"/>
    <w:rsid w:val="00BA02C9"/>
    <w:rsid w:val="00BA04FE"/>
    <w:rsid w:val="00BA06B0"/>
    <w:rsid w:val="00BA663D"/>
    <w:rsid w:val="00BB0FE3"/>
    <w:rsid w:val="00BB1250"/>
    <w:rsid w:val="00BB4419"/>
    <w:rsid w:val="00BB6BB4"/>
    <w:rsid w:val="00BB7409"/>
    <w:rsid w:val="00BB79F5"/>
    <w:rsid w:val="00BC0F46"/>
    <w:rsid w:val="00BC3949"/>
    <w:rsid w:val="00BC3F20"/>
    <w:rsid w:val="00BC5127"/>
    <w:rsid w:val="00BD1253"/>
    <w:rsid w:val="00BD2DFC"/>
    <w:rsid w:val="00BE0F39"/>
    <w:rsid w:val="00BE146D"/>
    <w:rsid w:val="00BE20C2"/>
    <w:rsid w:val="00BE42FB"/>
    <w:rsid w:val="00BE6A85"/>
    <w:rsid w:val="00BF2929"/>
    <w:rsid w:val="00BF7F2E"/>
    <w:rsid w:val="00C01E3F"/>
    <w:rsid w:val="00C03C19"/>
    <w:rsid w:val="00C06583"/>
    <w:rsid w:val="00C07952"/>
    <w:rsid w:val="00C07DBD"/>
    <w:rsid w:val="00C10888"/>
    <w:rsid w:val="00C10A30"/>
    <w:rsid w:val="00C11A7A"/>
    <w:rsid w:val="00C11BAA"/>
    <w:rsid w:val="00C12168"/>
    <w:rsid w:val="00C131CE"/>
    <w:rsid w:val="00C139CB"/>
    <w:rsid w:val="00C1613A"/>
    <w:rsid w:val="00C20859"/>
    <w:rsid w:val="00C215CC"/>
    <w:rsid w:val="00C21952"/>
    <w:rsid w:val="00C26409"/>
    <w:rsid w:val="00C26767"/>
    <w:rsid w:val="00C268BF"/>
    <w:rsid w:val="00C26AB2"/>
    <w:rsid w:val="00C30309"/>
    <w:rsid w:val="00C3064E"/>
    <w:rsid w:val="00C31604"/>
    <w:rsid w:val="00C36D3D"/>
    <w:rsid w:val="00C3791D"/>
    <w:rsid w:val="00C47826"/>
    <w:rsid w:val="00C47F2C"/>
    <w:rsid w:val="00C520B0"/>
    <w:rsid w:val="00C52853"/>
    <w:rsid w:val="00C53707"/>
    <w:rsid w:val="00C54B69"/>
    <w:rsid w:val="00C561D9"/>
    <w:rsid w:val="00C57362"/>
    <w:rsid w:val="00C60213"/>
    <w:rsid w:val="00C62CF3"/>
    <w:rsid w:val="00C641ED"/>
    <w:rsid w:val="00C661E5"/>
    <w:rsid w:val="00C72142"/>
    <w:rsid w:val="00C725F0"/>
    <w:rsid w:val="00C76DA9"/>
    <w:rsid w:val="00C7704C"/>
    <w:rsid w:val="00C7746C"/>
    <w:rsid w:val="00C80327"/>
    <w:rsid w:val="00C81C39"/>
    <w:rsid w:val="00C82460"/>
    <w:rsid w:val="00C8394F"/>
    <w:rsid w:val="00C84B37"/>
    <w:rsid w:val="00C853E7"/>
    <w:rsid w:val="00C90702"/>
    <w:rsid w:val="00C90F23"/>
    <w:rsid w:val="00C934F2"/>
    <w:rsid w:val="00C96C4E"/>
    <w:rsid w:val="00CA179C"/>
    <w:rsid w:val="00CA37F7"/>
    <w:rsid w:val="00CB2660"/>
    <w:rsid w:val="00CB34EC"/>
    <w:rsid w:val="00CC140C"/>
    <w:rsid w:val="00CC30E0"/>
    <w:rsid w:val="00CC4024"/>
    <w:rsid w:val="00CC5D8F"/>
    <w:rsid w:val="00CC600D"/>
    <w:rsid w:val="00CD1721"/>
    <w:rsid w:val="00CD5FF5"/>
    <w:rsid w:val="00CD7163"/>
    <w:rsid w:val="00CE0030"/>
    <w:rsid w:val="00CE2491"/>
    <w:rsid w:val="00CE2D30"/>
    <w:rsid w:val="00CE3885"/>
    <w:rsid w:val="00CE409A"/>
    <w:rsid w:val="00CF26A2"/>
    <w:rsid w:val="00CF29F0"/>
    <w:rsid w:val="00CF4904"/>
    <w:rsid w:val="00CF7023"/>
    <w:rsid w:val="00D01E64"/>
    <w:rsid w:val="00D038C7"/>
    <w:rsid w:val="00D07FBF"/>
    <w:rsid w:val="00D11849"/>
    <w:rsid w:val="00D1235D"/>
    <w:rsid w:val="00D1355E"/>
    <w:rsid w:val="00D13F5C"/>
    <w:rsid w:val="00D14ABB"/>
    <w:rsid w:val="00D179D3"/>
    <w:rsid w:val="00D2184C"/>
    <w:rsid w:val="00D21E9B"/>
    <w:rsid w:val="00D249B0"/>
    <w:rsid w:val="00D2646B"/>
    <w:rsid w:val="00D27026"/>
    <w:rsid w:val="00D317A7"/>
    <w:rsid w:val="00D32479"/>
    <w:rsid w:val="00D41FEA"/>
    <w:rsid w:val="00D4429E"/>
    <w:rsid w:val="00D44E3F"/>
    <w:rsid w:val="00D45180"/>
    <w:rsid w:val="00D4747D"/>
    <w:rsid w:val="00D51F2B"/>
    <w:rsid w:val="00D51F9B"/>
    <w:rsid w:val="00D54250"/>
    <w:rsid w:val="00D553B4"/>
    <w:rsid w:val="00D55BE2"/>
    <w:rsid w:val="00D60A9C"/>
    <w:rsid w:val="00D62BF9"/>
    <w:rsid w:val="00D64C42"/>
    <w:rsid w:val="00D64F2B"/>
    <w:rsid w:val="00D66390"/>
    <w:rsid w:val="00D668E4"/>
    <w:rsid w:val="00D66A18"/>
    <w:rsid w:val="00D67F84"/>
    <w:rsid w:val="00D701BB"/>
    <w:rsid w:val="00D706CB"/>
    <w:rsid w:val="00D721D8"/>
    <w:rsid w:val="00D7289F"/>
    <w:rsid w:val="00D74292"/>
    <w:rsid w:val="00D74C2F"/>
    <w:rsid w:val="00D74C8A"/>
    <w:rsid w:val="00D74E15"/>
    <w:rsid w:val="00D755CE"/>
    <w:rsid w:val="00D81B0D"/>
    <w:rsid w:val="00D828C1"/>
    <w:rsid w:val="00D83CFB"/>
    <w:rsid w:val="00D841D5"/>
    <w:rsid w:val="00D90FA5"/>
    <w:rsid w:val="00D94D0C"/>
    <w:rsid w:val="00D94FCC"/>
    <w:rsid w:val="00D952C0"/>
    <w:rsid w:val="00D959A5"/>
    <w:rsid w:val="00DA27A7"/>
    <w:rsid w:val="00DA2BC6"/>
    <w:rsid w:val="00DA3751"/>
    <w:rsid w:val="00DA53F7"/>
    <w:rsid w:val="00DA75A2"/>
    <w:rsid w:val="00DB04B3"/>
    <w:rsid w:val="00DB1035"/>
    <w:rsid w:val="00DB174E"/>
    <w:rsid w:val="00DB34D3"/>
    <w:rsid w:val="00DB5B93"/>
    <w:rsid w:val="00DB6E53"/>
    <w:rsid w:val="00DC0C9C"/>
    <w:rsid w:val="00DC1852"/>
    <w:rsid w:val="00DC1F05"/>
    <w:rsid w:val="00DC48D2"/>
    <w:rsid w:val="00DC6C09"/>
    <w:rsid w:val="00DC7D8D"/>
    <w:rsid w:val="00DD407A"/>
    <w:rsid w:val="00DE1489"/>
    <w:rsid w:val="00DE2315"/>
    <w:rsid w:val="00DE326C"/>
    <w:rsid w:val="00DE392F"/>
    <w:rsid w:val="00DE419B"/>
    <w:rsid w:val="00DE438C"/>
    <w:rsid w:val="00DF12A4"/>
    <w:rsid w:val="00DF21A0"/>
    <w:rsid w:val="00DF342D"/>
    <w:rsid w:val="00DF3DF0"/>
    <w:rsid w:val="00DF75F1"/>
    <w:rsid w:val="00E001C2"/>
    <w:rsid w:val="00E01B28"/>
    <w:rsid w:val="00E01B55"/>
    <w:rsid w:val="00E02670"/>
    <w:rsid w:val="00E05199"/>
    <w:rsid w:val="00E07F52"/>
    <w:rsid w:val="00E112F5"/>
    <w:rsid w:val="00E13518"/>
    <w:rsid w:val="00E14E59"/>
    <w:rsid w:val="00E208D9"/>
    <w:rsid w:val="00E20B8F"/>
    <w:rsid w:val="00E212B0"/>
    <w:rsid w:val="00E26B2B"/>
    <w:rsid w:val="00E274EF"/>
    <w:rsid w:val="00E30AC1"/>
    <w:rsid w:val="00E31709"/>
    <w:rsid w:val="00E32DFA"/>
    <w:rsid w:val="00E33161"/>
    <w:rsid w:val="00E3388F"/>
    <w:rsid w:val="00E34F60"/>
    <w:rsid w:val="00E35CB9"/>
    <w:rsid w:val="00E36474"/>
    <w:rsid w:val="00E438D9"/>
    <w:rsid w:val="00E52725"/>
    <w:rsid w:val="00E553E9"/>
    <w:rsid w:val="00E559B2"/>
    <w:rsid w:val="00E5646D"/>
    <w:rsid w:val="00E573AF"/>
    <w:rsid w:val="00E60238"/>
    <w:rsid w:val="00E61616"/>
    <w:rsid w:val="00E65B61"/>
    <w:rsid w:val="00E65BE7"/>
    <w:rsid w:val="00E6637C"/>
    <w:rsid w:val="00E6684F"/>
    <w:rsid w:val="00E70061"/>
    <w:rsid w:val="00E72134"/>
    <w:rsid w:val="00E74FEC"/>
    <w:rsid w:val="00E76D17"/>
    <w:rsid w:val="00E8018F"/>
    <w:rsid w:val="00E82722"/>
    <w:rsid w:val="00E828A6"/>
    <w:rsid w:val="00E83412"/>
    <w:rsid w:val="00E867AF"/>
    <w:rsid w:val="00E86B9C"/>
    <w:rsid w:val="00E90330"/>
    <w:rsid w:val="00E91113"/>
    <w:rsid w:val="00E9127A"/>
    <w:rsid w:val="00E933A7"/>
    <w:rsid w:val="00E93D6D"/>
    <w:rsid w:val="00EA030D"/>
    <w:rsid w:val="00EA0AD8"/>
    <w:rsid w:val="00EA2791"/>
    <w:rsid w:val="00EA30DC"/>
    <w:rsid w:val="00EA6F14"/>
    <w:rsid w:val="00EB2134"/>
    <w:rsid w:val="00EB2740"/>
    <w:rsid w:val="00EB3DC9"/>
    <w:rsid w:val="00EB3FAC"/>
    <w:rsid w:val="00EB56EB"/>
    <w:rsid w:val="00EC0202"/>
    <w:rsid w:val="00EC0CE1"/>
    <w:rsid w:val="00EC11DC"/>
    <w:rsid w:val="00EC39B1"/>
    <w:rsid w:val="00EC3B64"/>
    <w:rsid w:val="00EC7600"/>
    <w:rsid w:val="00ED0CB2"/>
    <w:rsid w:val="00ED24B1"/>
    <w:rsid w:val="00ED2C38"/>
    <w:rsid w:val="00ED370A"/>
    <w:rsid w:val="00ED3BEB"/>
    <w:rsid w:val="00ED3E89"/>
    <w:rsid w:val="00ED410E"/>
    <w:rsid w:val="00EE1847"/>
    <w:rsid w:val="00EE2909"/>
    <w:rsid w:val="00EE67EB"/>
    <w:rsid w:val="00EE740E"/>
    <w:rsid w:val="00EF2471"/>
    <w:rsid w:val="00EF3245"/>
    <w:rsid w:val="00F001A9"/>
    <w:rsid w:val="00F00AF6"/>
    <w:rsid w:val="00F00C81"/>
    <w:rsid w:val="00F0236A"/>
    <w:rsid w:val="00F032C0"/>
    <w:rsid w:val="00F048F0"/>
    <w:rsid w:val="00F04E3B"/>
    <w:rsid w:val="00F05B3B"/>
    <w:rsid w:val="00F07FA2"/>
    <w:rsid w:val="00F14E7C"/>
    <w:rsid w:val="00F17F24"/>
    <w:rsid w:val="00F21DF6"/>
    <w:rsid w:val="00F21E42"/>
    <w:rsid w:val="00F222C7"/>
    <w:rsid w:val="00F2397D"/>
    <w:rsid w:val="00F23B24"/>
    <w:rsid w:val="00F27530"/>
    <w:rsid w:val="00F2782C"/>
    <w:rsid w:val="00F333ED"/>
    <w:rsid w:val="00F33D95"/>
    <w:rsid w:val="00F347BF"/>
    <w:rsid w:val="00F37FC5"/>
    <w:rsid w:val="00F40D9F"/>
    <w:rsid w:val="00F40FDA"/>
    <w:rsid w:val="00F429C5"/>
    <w:rsid w:val="00F4464E"/>
    <w:rsid w:val="00F44FFD"/>
    <w:rsid w:val="00F47114"/>
    <w:rsid w:val="00F54295"/>
    <w:rsid w:val="00F551F0"/>
    <w:rsid w:val="00F562D4"/>
    <w:rsid w:val="00F57140"/>
    <w:rsid w:val="00F62F23"/>
    <w:rsid w:val="00F64BD5"/>
    <w:rsid w:val="00F65DD6"/>
    <w:rsid w:val="00F70A3A"/>
    <w:rsid w:val="00F758AB"/>
    <w:rsid w:val="00F76830"/>
    <w:rsid w:val="00F81E07"/>
    <w:rsid w:val="00F82034"/>
    <w:rsid w:val="00F835B8"/>
    <w:rsid w:val="00F84336"/>
    <w:rsid w:val="00F90011"/>
    <w:rsid w:val="00F9389E"/>
    <w:rsid w:val="00F941A7"/>
    <w:rsid w:val="00F94EBD"/>
    <w:rsid w:val="00F95999"/>
    <w:rsid w:val="00F970B3"/>
    <w:rsid w:val="00FA0388"/>
    <w:rsid w:val="00FA0B9A"/>
    <w:rsid w:val="00FA65A1"/>
    <w:rsid w:val="00FA7D7F"/>
    <w:rsid w:val="00FB05A8"/>
    <w:rsid w:val="00FB0771"/>
    <w:rsid w:val="00FB1F6E"/>
    <w:rsid w:val="00FB2824"/>
    <w:rsid w:val="00FB32A5"/>
    <w:rsid w:val="00FB3E51"/>
    <w:rsid w:val="00FC24BC"/>
    <w:rsid w:val="00FC3601"/>
    <w:rsid w:val="00FD1A79"/>
    <w:rsid w:val="00FD2B71"/>
    <w:rsid w:val="00FD4934"/>
    <w:rsid w:val="00FD528E"/>
    <w:rsid w:val="00FD556B"/>
    <w:rsid w:val="00FE0E7F"/>
    <w:rsid w:val="00FE18AC"/>
    <w:rsid w:val="00FE3735"/>
    <w:rsid w:val="00FE737B"/>
    <w:rsid w:val="00FF1AB1"/>
    <w:rsid w:val="00FF1EF4"/>
    <w:rsid w:val="00FF1F22"/>
    <w:rsid w:val="00FF5776"/>
    <w:rsid w:val="00FF5966"/>
    <w:rsid w:val="00FF69FC"/>
    <w:rsid w:val="01F739CA"/>
    <w:rsid w:val="02601F36"/>
    <w:rsid w:val="044859AD"/>
    <w:rsid w:val="055374FD"/>
    <w:rsid w:val="07A93723"/>
    <w:rsid w:val="08AB289A"/>
    <w:rsid w:val="09AA4E1E"/>
    <w:rsid w:val="0B9769A4"/>
    <w:rsid w:val="0BF70316"/>
    <w:rsid w:val="0D807C16"/>
    <w:rsid w:val="0F1B2772"/>
    <w:rsid w:val="15D055E4"/>
    <w:rsid w:val="168D4B5B"/>
    <w:rsid w:val="16C97C00"/>
    <w:rsid w:val="16FE744A"/>
    <w:rsid w:val="19887D05"/>
    <w:rsid w:val="1997C401"/>
    <w:rsid w:val="19D3710E"/>
    <w:rsid w:val="1E3674EF"/>
    <w:rsid w:val="20597272"/>
    <w:rsid w:val="209C6C62"/>
    <w:rsid w:val="21B71058"/>
    <w:rsid w:val="22524B17"/>
    <w:rsid w:val="225D3BFC"/>
    <w:rsid w:val="251B1283"/>
    <w:rsid w:val="252E4BD1"/>
    <w:rsid w:val="26F874DF"/>
    <w:rsid w:val="27767AD1"/>
    <w:rsid w:val="27CD7BB0"/>
    <w:rsid w:val="27DD1AC1"/>
    <w:rsid w:val="29271A79"/>
    <w:rsid w:val="2A486BB0"/>
    <w:rsid w:val="2DE3B4E1"/>
    <w:rsid w:val="2DEFF362"/>
    <w:rsid w:val="2E454D68"/>
    <w:rsid w:val="2FD73EA4"/>
    <w:rsid w:val="2FFB782C"/>
    <w:rsid w:val="30723FDB"/>
    <w:rsid w:val="314D5A47"/>
    <w:rsid w:val="31860A58"/>
    <w:rsid w:val="31C06033"/>
    <w:rsid w:val="35BC7E76"/>
    <w:rsid w:val="36962676"/>
    <w:rsid w:val="372566C7"/>
    <w:rsid w:val="373FC100"/>
    <w:rsid w:val="376E6B81"/>
    <w:rsid w:val="398E47E2"/>
    <w:rsid w:val="3AFF1152"/>
    <w:rsid w:val="3B735368"/>
    <w:rsid w:val="3BFEBBF6"/>
    <w:rsid w:val="3C7C75E3"/>
    <w:rsid w:val="3F17615B"/>
    <w:rsid w:val="3F6319EB"/>
    <w:rsid w:val="3F7AB688"/>
    <w:rsid w:val="3FBFC26E"/>
    <w:rsid w:val="3FBFFC91"/>
    <w:rsid w:val="3FEF8188"/>
    <w:rsid w:val="421A1670"/>
    <w:rsid w:val="425922C9"/>
    <w:rsid w:val="431C0CFC"/>
    <w:rsid w:val="431EEB26"/>
    <w:rsid w:val="435543BE"/>
    <w:rsid w:val="44844414"/>
    <w:rsid w:val="460B3BB0"/>
    <w:rsid w:val="47B2658F"/>
    <w:rsid w:val="47BC54F3"/>
    <w:rsid w:val="49870C38"/>
    <w:rsid w:val="4A303FDD"/>
    <w:rsid w:val="4A4276A9"/>
    <w:rsid w:val="4B2E1196"/>
    <w:rsid w:val="4C07711F"/>
    <w:rsid w:val="4CEC86BC"/>
    <w:rsid w:val="4F9D3E86"/>
    <w:rsid w:val="4FA5F54F"/>
    <w:rsid w:val="51CF4878"/>
    <w:rsid w:val="51E3777E"/>
    <w:rsid w:val="52766174"/>
    <w:rsid w:val="56EBF439"/>
    <w:rsid w:val="577F9B2B"/>
    <w:rsid w:val="57F246AC"/>
    <w:rsid w:val="57F9F155"/>
    <w:rsid w:val="57FFA87D"/>
    <w:rsid w:val="58B309FF"/>
    <w:rsid w:val="5A37D375"/>
    <w:rsid w:val="5AFF5526"/>
    <w:rsid w:val="5B1FCA0C"/>
    <w:rsid w:val="5CD93AF9"/>
    <w:rsid w:val="5CF6627E"/>
    <w:rsid w:val="5D376CDF"/>
    <w:rsid w:val="5D556399"/>
    <w:rsid w:val="5DEF781E"/>
    <w:rsid w:val="5F0654A1"/>
    <w:rsid w:val="5FBFDFDF"/>
    <w:rsid w:val="5FDF8741"/>
    <w:rsid w:val="5FF23D25"/>
    <w:rsid w:val="5FF586ED"/>
    <w:rsid w:val="5FFB167E"/>
    <w:rsid w:val="602C1928"/>
    <w:rsid w:val="6121135D"/>
    <w:rsid w:val="65BF4ECB"/>
    <w:rsid w:val="665A38E8"/>
    <w:rsid w:val="673F1D8D"/>
    <w:rsid w:val="6AFDA195"/>
    <w:rsid w:val="6BBF8A5D"/>
    <w:rsid w:val="6BDF8A9C"/>
    <w:rsid w:val="6C40492B"/>
    <w:rsid w:val="6C963CB2"/>
    <w:rsid w:val="6D1A412B"/>
    <w:rsid w:val="6D6E0BBA"/>
    <w:rsid w:val="6DFF83FE"/>
    <w:rsid w:val="6E454340"/>
    <w:rsid w:val="6E5BE90D"/>
    <w:rsid w:val="6E8B080C"/>
    <w:rsid w:val="6F8E3A34"/>
    <w:rsid w:val="6FAE57BF"/>
    <w:rsid w:val="6FEFC139"/>
    <w:rsid w:val="71214A61"/>
    <w:rsid w:val="71783659"/>
    <w:rsid w:val="728A39B3"/>
    <w:rsid w:val="74ED21EA"/>
    <w:rsid w:val="74FFBEC2"/>
    <w:rsid w:val="756C6C77"/>
    <w:rsid w:val="75BD374D"/>
    <w:rsid w:val="76A7839B"/>
    <w:rsid w:val="770C1D7F"/>
    <w:rsid w:val="77FF96C5"/>
    <w:rsid w:val="7A843E07"/>
    <w:rsid w:val="7ABFCD2F"/>
    <w:rsid w:val="7BAF85C7"/>
    <w:rsid w:val="7BBD6CAE"/>
    <w:rsid w:val="7BBE5F59"/>
    <w:rsid w:val="7BFBEC64"/>
    <w:rsid w:val="7CD965AC"/>
    <w:rsid w:val="7D6652A9"/>
    <w:rsid w:val="7D75EACF"/>
    <w:rsid w:val="7D9A07B2"/>
    <w:rsid w:val="7DFEEAEB"/>
    <w:rsid w:val="7E726FED"/>
    <w:rsid w:val="7F206D1B"/>
    <w:rsid w:val="7F3F1774"/>
    <w:rsid w:val="7F67B1EC"/>
    <w:rsid w:val="7F6FADC7"/>
    <w:rsid w:val="7F9BB2D4"/>
    <w:rsid w:val="7FB7E4E6"/>
    <w:rsid w:val="7FBA9B99"/>
    <w:rsid w:val="7FBDB56C"/>
    <w:rsid w:val="7FDF7344"/>
    <w:rsid w:val="7FFB8AB3"/>
    <w:rsid w:val="7FFF3654"/>
    <w:rsid w:val="7FFF54EA"/>
    <w:rsid w:val="85DF221F"/>
    <w:rsid w:val="8BEBE132"/>
    <w:rsid w:val="8DEF8EC8"/>
    <w:rsid w:val="8F9FD3B5"/>
    <w:rsid w:val="8FFB522E"/>
    <w:rsid w:val="9BF6DA8F"/>
    <w:rsid w:val="9DDCBE2D"/>
    <w:rsid w:val="ABDF7DA8"/>
    <w:rsid w:val="B2245983"/>
    <w:rsid w:val="B3DECC0E"/>
    <w:rsid w:val="B747D548"/>
    <w:rsid w:val="B7FB31B2"/>
    <w:rsid w:val="B9FBCF58"/>
    <w:rsid w:val="BABE0C93"/>
    <w:rsid w:val="BB9B8778"/>
    <w:rsid w:val="BD6F4252"/>
    <w:rsid w:val="BDFFC08F"/>
    <w:rsid w:val="BEAF98B3"/>
    <w:rsid w:val="BF705590"/>
    <w:rsid w:val="BFB8F899"/>
    <w:rsid w:val="BFB919CD"/>
    <w:rsid w:val="BFEF4A91"/>
    <w:rsid w:val="BFEFCE48"/>
    <w:rsid w:val="CABEAB36"/>
    <w:rsid w:val="CBA501A0"/>
    <w:rsid w:val="CDDFAB42"/>
    <w:rsid w:val="CDFF3F9E"/>
    <w:rsid w:val="CFBF5512"/>
    <w:rsid w:val="D2F6DB6B"/>
    <w:rsid w:val="D35D8927"/>
    <w:rsid w:val="D3FF78E0"/>
    <w:rsid w:val="D53FD254"/>
    <w:rsid w:val="D77FEC23"/>
    <w:rsid w:val="D7E741E6"/>
    <w:rsid w:val="D8F63F15"/>
    <w:rsid w:val="DBA7D124"/>
    <w:rsid w:val="DBB72358"/>
    <w:rsid w:val="DE3B6610"/>
    <w:rsid w:val="DEFEB1C7"/>
    <w:rsid w:val="DF6D236D"/>
    <w:rsid w:val="DFBFCB84"/>
    <w:rsid w:val="DFC7AE32"/>
    <w:rsid w:val="DFFF6E01"/>
    <w:rsid w:val="E4FC4378"/>
    <w:rsid w:val="E7FF3393"/>
    <w:rsid w:val="EBEFCED6"/>
    <w:rsid w:val="EBF67B2B"/>
    <w:rsid w:val="EDFD818A"/>
    <w:rsid w:val="EEFD384D"/>
    <w:rsid w:val="EF07E87D"/>
    <w:rsid w:val="EF7F3598"/>
    <w:rsid w:val="EF9781CC"/>
    <w:rsid w:val="EFBEAA64"/>
    <w:rsid w:val="EFCD99BF"/>
    <w:rsid w:val="EFDB7C07"/>
    <w:rsid w:val="F1A71BF1"/>
    <w:rsid w:val="F2A7ABDB"/>
    <w:rsid w:val="F2B9B886"/>
    <w:rsid w:val="F523AEAF"/>
    <w:rsid w:val="F5FBAE58"/>
    <w:rsid w:val="F6724B57"/>
    <w:rsid w:val="F77F05E5"/>
    <w:rsid w:val="F7A5989B"/>
    <w:rsid w:val="F7E50FFF"/>
    <w:rsid w:val="FB713C4F"/>
    <w:rsid w:val="FB735600"/>
    <w:rsid w:val="FB8FBA70"/>
    <w:rsid w:val="FC32BDDC"/>
    <w:rsid w:val="FC58CD09"/>
    <w:rsid w:val="FCFBD44A"/>
    <w:rsid w:val="FD7FC8B3"/>
    <w:rsid w:val="FDFF843C"/>
    <w:rsid w:val="FEDEBDFE"/>
    <w:rsid w:val="FEDFCF70"/>
    <w:rsid w:val="FEE739A6"/>
    <w:rsid w:val="FEE75CC4"/>
    <w:rsid w:val="FEFD59AC"/>
    <w:rsid w:val="FEFF30D7"/>
    <w:rsid w:val="FEFF9165"/>
    <w:rsid w:val="FF1B565B"/>
    <w:rsid w:val="FF1C0D78"/>
    <w:rsid w:val="FF3F4730"/>
    <w:rsid w:val="FF7F0EC7"/>
    <w:rsid w:val="FFBB91A6"/>
    <w:rsid w:val="FFD50771"/>
    <w:rsid w:val="FFDB6DB5"/>
    <w:rsid w:val="FFE363D0"/>
    <w:rsid w:val="FFEE7CE8"/>
    <w:rsid w:val="FFF790CB"/>
    <w:rsid w:val="FFFB1B3C"/>
    <w:rsid w:val="FFFC49C4"/>
    <w:rsid w:val="FFFD0A4E"/>
    <w:rsid w:val="FFFD114A"/>
    <w:rsid w:val="FFFD3613"/>
    <w:rsid w:val="FFFEABD0"/>
    <w:rsid w:val="FFFFE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仿宋" w:hAnsi="仿宋" w:eastAsia="仿宋" w:cs="仿宋"/>
      <w:kern w:val="2"/>
      <w:sz w:val="32"/>
      <w:szCs w:val="28"/>
      <w:lang w:val="en-US" w:eastAsia="zh-CN" w:bidi="ar-SA"/>
    </w:rPr>
  </w:style>
  <w:style w:type="paragraph" w:styleId="3">
    <w:name w:val="heading 1"/>
    <w:basedOn w:val="1"/>
    <w:next w:val="1"/>
    <w:link w:val="30"/>
    <w:qFormat/>
    <w:uiPriority w:val="9"/>
    <w:pPr>
      <w:keepNext/>
      <w:keepLines/>
      <w:spacing w:before="120" w:after="120"/>
      <w:ind w:firstLine="0" w:firstLineChars="0"/>
      <w:jc w:val="center"/>
      <w:outlineLvl w:val="0"/>
    </w:pPr>
    <w:rPr>
      <w:rFonts w:ascii="黑体" w:hAnsi="黑体" w:eastAsia="黑体" w:cstheme="majorBidi"/>
      <w:kern w:val="0"/>
      <w:szCs w:val="36"/>
      <w:lang w:eastAsia="ja-JP"/>
    </w:rPr>
  </w:style>
  <w:style w:type="paragraph" w:styleId="4">
    <w:name w:val="heading 2"/>
    <w:basedOn w:val="1"/>
    <w:next w:val="1"/>
    <w:link w:val="35"/>
    <w:unhideWhenUsed/>
    <w:qFormat/>
    <w:uiPriority w:val="9"/>
    <w:pPr>
      <w:ind w:firstLine="0" w:firstLineChars="0"/>
      <w:jc w:val="center"/>
      <w:outlineLvl w:val="1"/>
    </w:pPr>
    <w:rPr>
      <w:rFonts w:ascii="楷体" w:hAnsi="楷体" w:eastAsia="楷体"/>
      <w:b/>
      <w:lang w:val="en"/>
    </w:rPr>
  </w:style>
  <w:style w:type="paragraph" w:styleId="5">
    <w:name w:val="heading 3"/>
    <w:basedOn w:val="1"/>
    <w:next w:val="1"/>
    <w:link w:val="31"/>
    <w:unhideWhenUsed/>
    <w:qFormat/>
    <w:uiPriority w:val="9"/>
    <w:pPr>
      <w:outlineLvl w:val="2"/>
    </w:pPr>
  </w:style>
  <w:style w:type="paragraph" w:styleId="6">
    <w:name w:val="heading 4"/>
    <w:basedOn w:val="1"/>
    <w:next w:val="1"/>
    <w:link w:val="36"/>
    <w:unhideWhenUsed/>
    <w:qFormat/>
    <w:uiPriority w:val="9"/>
    <w:pPr>
      <w:keepNext/>
      <w:keepLines/>
      <w:adjustRightInd/>
      <w:snapToGrid/>
      <w:spacing w:before="280" w:after="290" w:line="376" w:lineRule="auto"/>
      <w:ind w:firstLine="0" w:firstLineChars="0"/>
      <w:outlineLvl w:val="3"/>
    </w:pPr>
    <w:rPr>
      <w:rFonts w:asciiTheme="majorHAnsi" w:hAnsiTheme="majorHAnsi" w:eastAsiaTheme="majorEastAsia" w:cstheme="majorBidi"/>
      <w:b/>
      <w:bCs/>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0"/>
    <w:qFormat/>
    <w:uiPriority w:val="0"/>
    <w:pPr>
      <w:adjustRightInd/>
      <w:snapToGrid/>
      <w:spacing w:line="240" w:lineRule="auto"/>
      <w:ind w:firstLine="0" w:firstLineChars="0"/>
    </w:pPr>
    <w:rPr>
      <w:rFonts w:ascii="Times New Roman" w:hAnsi="Times New Roman" w:eastAsia="文星仿宋" w:cs="Times New Roman"/>
      <w:szCs w:val="24"/>
    </w:rPr>
  </w:style>
  <w:style w:type="paragraph" w:styleId="7">
    <w:name w:val="Normal Indent"/>
    <w:basedOn w:val="1"/>
    <w:qFormat/>
    <w:uiPriority w:val="99"/>
    <w:pPr>
      <w:adjustRightInd/>
      <w:snapToGrid/>
      <w:spacing w:line="240" w:lineRule="auto"/>
      <w:ind w:firstLine="420"/>
    </w:pPr>
    <w:rPr>
      <w:rFonts w:ascii="Calibri" w:hAnsi="Calibri" w:eastAsia="宋体" w:cs="Times New Roman"/>
      <w:sz w:val="21"/>
      <w:szCs w:val="24"/>
    </w:rPr>
  </w:style>
  <w:style w:type="paragraph" w:styleId="8">
    <w:name w:val="annotation text"/>
    <w:basedOn w:val="1"/>
    <w:link w:val="47"/>
    <w:semiHidden/>
    <w:unhideWhenUsed/>
    <w:qFormat/>
    <w:uiPriority w:val="99"/>
    <w:pPr>
      <w:jc w:val="left"/>
    </w:pPr>
  </w:style>
  <w:style w:type="paragraph" w:styleId="9">
    <w:name w:val="Body Text Indent"/>
    <w:basedOn w:val="1"/>
    <w:link w:val="44"/>
    <w:semiHidden/>
    <w:unhideWhenUsed/>
    <w:qFormat/>
    <w:uiPriority w:val="99"/>
    <w:pPr>
      <w:spacing w:after="120"/>
      <w:ind w:left="420" w:leftChars="200"/>
    </w:pPr>
  </w:style>
  <w:style w:type="paragraph" w:styleId="10">
    <w:name w:val="toc 3"/>
    <w:basedOn w:val="1"/>
    <w:next w:val="1"/>
    <w:unhideWhenUsed/>
    <w:qFormat/>
    <w:uiPriority w:val="39"/>
    <w:pPr>
      <w:ind w:left="840" w:leftChars="400"/>
    </w:pPr>
  </w:style>
  <w:style w:type="paragraph" w:styleId="11">
    <w:name w:val="Plain Text"/>
    <w:basedOn w:val="1"/>
    <w:qFormat/>
    <w:uiPriority w:val="0"/>
    <w:rPr>
      <w:rFonts w:ascii="黑体" w:hAnsi="华文楷体" w:cs="Times New Roman"/>
      <w:szCs w:val="20"/>
    </w:rPr>
  </w:style>
  <w:style w:type="paragraph" w:styleId="12">
    <w:name w:val="Body Text Indent 2"/>
    <w:basedOn w:val="1"/>
    <w:next w:val="1"/>
    <w:qFormat/>
    <w:uiPriority w:val="0"/>
    <w:pPr>
      <w:spacing w:after="120" w:line="480" w:lineRule="auto"/>
      <w:ind w:left="420" w:leftChars="200"/>
    </w:pPr>
    <w:rPr>
      <w:rFonts w:ascii="Calibri" w:hAnsi="Calibri" w:eastAsia="仿宋_GB2312"/>
    </w:rPr>
  </w:style>
  <w:style w:type="paragraph" w:styleId="13">
    <w:name w:val="Balloon Text"/>
    <w:basedOn w:val="1"/>
    <w:link w:val="46"/>
    <w:semiHidden/>
    <w:unhideWhenUsed/>
    <w:qFormat/>
    <w:uiPriority w:val="99"/>
    <w:pPr>
      <w:spacing w:line="240" w:lineRule="auto"/>
    </w:pPr>
    <w:rPr>
      <w:sz w:val="18"/>
      <w:szCs w:val="18"/>
    </w:rPr>
  </w:style>
  <w:style w:type="paragraph" w:styleId="14">
    <w:name w:val="footer"/>
    <w:basedOn w:val="1"/>
    <w:link w:val="33"/>
    <w:qFormat/>
    <w:uiPriority w:val="99"/>
    <w:pPr>
      <w:tabs>
        <w:tab w:val="center" w:pos="4153"/>
        <w:tab w:val="right" w:pos="8306"/>
      </w:tabs>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HTML Preformatted"/>
    <w:basedOn w:val="1"/>
    <w:link w:val="5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9">
    <w:name w:val="Normal (Web)"/>
    <w:basedOn w:val="1"/>
    <w:unhideWhenUsed/>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0">
    <w:name w:val="annotation subject"/>
    <w:basedOn w:val="8"/>
    <w:next w:val="8"/>
    <w:link w:val="48"/>
    <w:semiHidden/>
    <w:unhideWhenUsed/>
    <w:qFormat/>
    <w:uiPriority w:val="99"/>
    <w:rPr>
      <w:b/>
      <w:bCs/>
    </w:rPr>
  </w:style>
  <w:style w:type="paragraph" w:styleId="21">
    <w:name w:val="Body Text First Indent 2"/>
    <w:basedOn w:val="9"/>
    <w:link w:val="45"/>
    <w:semiHidden/>
    <w:unhideWhenUsed/>
    <w:qFormat/>
    <w:uiPriority w:val="99"/>
    <w:pPr>
      <w:ind w:firstLine="420"/>
    </w:p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FollowedHyperlink"/>
    <w:basedOn w:val="24"/>
    <w:semiHidden/>
    <w:unhideWhenUsed/>
    <w:qFormat/>
    <w:uiPriority w:val="99"/>
    <w:rPr>
      <w:color w:val="800080"/>
      <w:u w:val="none"/>
    </w:rPr>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styleId="28">
    <w:name w:val="annotation reference"/>
    <w:basedOn w:val="24"/>
    <w:semiHidden/>
    <w:unhideWhenUsed/>
    <w:qFormat/>
    <w:uiPriority w:val="99"/>
    <w:rPr>
      <w:sz w:val="21"/>
      <w:szCs w:val="21"/>
    </w:rPr>
  </w:style>
  <w:style w:type="paragraph" w:customStyle="1" w:styleId="29">
    <w:name w:val="123"/>
    <w:basedOn w:val="1"/>
    <w:qFormat/>
    <w:uiPriority w:val="0"/>
    <w:pPr>
      <w:ind w:firstLine="454"/>
    </w:pPr>
    <w:rPr>
      <w:sz w:val="24"/>
      <w:szCs w:val="20"/>
    </w:rPr>
  </w:style>
  <w:style w:type="character" w:customStyle="1" w:styleId="30">
    <w:name w:val="标题 1 字符"/>
    <w:basedOn w:val="24"/>
    <w:link w:val="3"/>
    <w:qFormat/>
    <w:uiPriority w:val="9"/>
    <w:rPr>
      <w:rFonts w:ascii="黑体" w:hAnsi="黑体" w:eastAsia="黑体" w:cstheme="majorBidi"/>
      <w:sz w:val="32"/>
      <w:szCs w:val="36"/>
      <w:lang w:eastAsia="ja-JP"/>
    </w:rPr>
  </w:style>
  <w:style w:type="character" w:customStyle="1" w:styleId="31">
    <w:name w:val="标题 3 字符"/>
    <w:basedOn w:val="24"/>
    <w:link w:val="5"/>
    <w:qFormat/>
    <w:uiPriority w:val="9"/>
    <w:rPr>
      <w:rFonts w:eastAsia="黑体" w:asciiTheme="majorHAnsi" w:hAnsiTheme="majorHAnsi" w:cstheme="majorBidi"/>
      <w:sz w:val="32"/>
      <w:szCs w:val="36"/>
      <w:lang w:eastAsia="ja-JP"/>
    </w:rPr>
  </w:style>
  <w:style w:type="character" w:customStyle="1" w:styleId="32">
    <w:name w:val="页眉 字符"/>
    <w:basedOn w:val="24"/>
    <w:link w:val="15"/>
    <w:qFormat/>
    <w:uiPriority w:val="99"/>
    <w:rPr>
      <w:sz w:val="18"/>
      <w:szCs w:val="18"/>
    </w:rPr>
  </w:style>
  <w:style w:type="character" w:customStyle="1" w:styleId="33">
    <w:name w:val="页脚 字符"/>
    <w:basedOn w:val="24"/>
    <w:link w:val="14"/>
    <w:qFormat/>
    <w:uiPriority w:val="99"/>
    <w:rPr>
      <w:sz w:val="18"/>
      <w:szCs w:val="18"/>
    </w:rPr>
  </w:style>
  <w:style w:type="paragraph" w:customStyle="1" w:styleId="34">
    <w:name w:val="Char Char Char1 Char Char Char1 Char"/>
    <w:basedOn w:val="1"/>
    <w:qFormat/>
    <w:uiPriority w:val="0"/>
    <w:pPr>
      <w:tabs>
        <w:tab w:val="left" w:pos="360"/>
      </w:tabs>
    </w:pPr>
    <w:rPr>
      <w:rFonts w:ascii="Times New Roman" w:hAnsi="Times New Roman" w:eastAsia="宋体" w:cs="Times New Roman"/>
      <w:sz w:val="24"/>
      <w:szCs w:val="32"/>
    </w:rPr>
  </w:style>
  <w:style w:type="character" w:customStyle="1" w:styleId="35">
    <w:name w:val="标题 2 字符"/>
    <w:basedOn w:val="24"/>
    <w:link w:val="4"/>
    <w:qFormat/>
    <w:uiPriority w:val="99"/>
    <w:rPr>
      <w:rFonts w:ascii="楷体" w:hAnsi="楷体" w:eastAsia="楷体" w:cs="仿宋"/>
      <w:b/>
      <w:kern w:val="2"/>
      <w:sz w:val="32"/>
      <w:szCs w:val="28"/>
      <w:lang w:val="en"/>
    </w:rPr>
  </w:style>
  <w:style w:type="character" w:customStyle="1" w:styleId="36">
    <w:name w:val="标题 4 字符"/>
    <w:basedOn w:val="24"/>
    <w:link w:val="6"/>
    <w:qFormat/>
    <w:uiPriority w:val="9"/>
    <w:rPr>
      <w:rFonts w:asciiTheme="majorHAnsi" w:hAnsiTheme="majorHAnsi" w:eastAsiaTheme="majorEastAsia" w:cstheme="majorBidi"/>
      <w:b/>
      <w:bCs/>
      <w:sz w:val="28"/>
      <w:szCs w:val="28"/>
    </w:rPr>
  </w:style>
  <w:style w:type="character" w:customStyle="1" w:styleId="37">
    <w:name w:val="article-info__tag"/>
    <w:basedOn w:val="24"/>
    <w:qFormat/>
    <w:uiPriority w:val="0"/>
  </w:style>
  <w:style w:type="paragraph" w:customStyle="1" w:styleId="38">
    <w:name w:val="kzx__showcase__block"/>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39">
    <w:name w:val="kzx__showcase__block__meta"/>
    <w:basedOn w:val="24"/>
    <w:qFormat/>
    <w:uiPriority w:val="0"/>
  </w:style>
  <w:style w:type="character" w:customStyle="1" w:styleId="40">
    <w:name w:val="正文文本 字符"/>
    <w:basedOn w:val="24"/>
    <w:link w:val="2"/>
    <w:qFormat/>
    <w:uiPriority w:val="0"/>
    <w:rPr>
      <w:rFonts w:ascii="Times New Roman" w:hAnsi="Times New Roman" w:eastAsia="文星仿宋" w:cs="Times New Roman"/>
      <w:sz w:val="32"/>
      <w:szCs w:val="24"/>
    </w:rPr>
  </w:style>
  <w:style w:type="character" w:customStyle="1" w:styleId="41">
    <w:name w:val="0规划正文 Char"/>
    <w:link w:val="42"/>
    <w:qFormat/>
    <w:uiPriority w:val="0"/>
    <w:rPr>
      <w:rFonts w:ascii="仿宋_GB2312" w:eastAsia="仿宋_GB2312"/>
      <w:sz w:val="32"/>
      <w:szCs w:val="32"/>
    </w:rPr>
  </w:style>
  <w:style w:type="paragraph" w:customStyle="1" w:styleId="42">
    <w:name w:val="0规划正文"/>
    <w:basedOn w:val="1"/>
    <w:link w:val="41"/>
    <w:qFormat/>
    <w:uiPriority w:val="0"/>
    <w:pPr>
      <w:adjustRightInd/>
      <w:snapToGrid/>
      <w:spacing w:line="560" w:lineRule="exact"/>
    </w:pPr>
    <w:rPr>
      <w:rFonts w:ascii="仿宋_GB2312" w:eastAsia="仿宋_GB2312" w:hAnsiTheme="minorHAnsi" w:cstheme="minorBidi"/>
      <w:szCs w:val="32"/>
    </w:rPr>
  </w:style>
  <w:style w:type="paragraph" w:customStyle="1" w:styleId="43">
    <w:name w:val="0"/>
    <w:basedOn w:val="1"/>
    <w:qFormat/>
    <w:uiPriority w:val="0"/>
    <w:pPr>
      <w:adjustRightInd/>
      <w:snapToGrid/>
      <w:spacing w:line="580" w:lineRule="exact"/>
      <w:ind w:firstLine="640"/>
    </w:pPr>
    <w:rPr>
      <w:rFonts w:ascii="Times New Roman" w:hAnsi="Times New Roman" w:eastAsia="仿宋_GB2312" w:cs="Times New Roman"/>
      <w:szCs w:val="24"/>
    </w:rPr>
  </w:style>
  <w:style w:type="character" w:customStyle="1" w:styleId="44">
    <w:name w:val="正文文本缩进 字符"/>
    <w:basedOn w:val="24"/>
    <w:link w:val="9"/>
    <w:semiHidden/>
    <w:qFormat/>
    <w:uiPriority w:val="99"/>
    <w:rPr>
      <w:rFonts w:ascii="仿宋" w:hAnsi="仿宋" w:eastAsia="仿宋" w:cs="仿宋"/>
      <w:kern w:val="2"/>
      <w:sz w:val="32"/>
      <w:szCs w:val="28"/>
    </w:rPr>
  </w:style>
  <w:style w:type="character" w:customStyle="1" w:styleId="45">
    <w:name w:val="正文首行缩进 2 字符"/>
    <w:basedOn w:val="44"/>
    <w:link w:val="21"/>
    <w:semiHidden/>
    <w:qFormat/>
    <w:uiPriority w:val="99"/>
    <w:rPr>
      <w:rFonts w:ascii="仿宋" w:hAnsi="仿宋" w:eastAsia="仿宋" w:cs="仿宋"/>
      <w:kern w:val="2"/>
      <w:sz w:val="32"/>
      <w:szCs w:val="28"/>
    </w:rPr>
  </w:style>
  <w:style w:type="character" w:customStyle="1" w:styleId="46">
    <w:name w:val="批注框文本 字符"/>
    <w:basedOn w:val="24"/>
    <w:link w:val="13"/>
    <w:semiHidden/>
    <w:qFormat/>
    <w:uiPriority w:val="99"/>
    <w:rPr>
      <w:rFonts w:ascii="仿宋" w:hAnsi="仿宋" w:eastAsia="仿宋" w:cs="仿宋"/>
      <w:kern w:val="2"/>
      <w:sz w:val="18"/>
      <w:szCs w:val="18"/>
    </w:rPr>
  </w:style>
  <w:style w:type="character" w:customStyle="1" w:styleId="47">
    <w:name w:val="批注文字 字符"/>
    <w:basedOn w:val="24"/>
    <w:link w:val="8"/>
    <w:semiHidden/>
    <w:qFormat/>
    <w:uiPriority w:val="99"/>
    <w:rPr>
      <w:rFonts w:ascii="仿宋" w:hAnsi="仿宋" w:eastAsia="仿宋" w:cs="仿宋"/>
      <w:kern w:val="2"/>
      <w:sz w:val="32"/>
      <w:szCs w:val="28"/>
    </w:rPr>
  </w:style>
  <w:style w:type="character" w:customStyle="1" w:styleId="48">
    <w:name w:val="批注主题 字符"/>
    <w:basedOn w:val="47"/>
    <w:link w:val="20"/>
    <w:semiHidden/>
    <w:qFormat/>
    <w:uiPriority w:val="99"/>
    <w:rPr>
      <w:rFonts w:ascii="仿宋" w:hAnsi="仿宋" w:eastAsia="仿宋" w:cs="仿宋"/>
      <w:b/>
      <w:bCs/>
      <w:kern w:val="2"/>
      <w:sz w:val="32"/>
      <w:szCs w:val="28"/>
    </w:rPr>
  </w:style>
  <w:style w:type="character" w:customStyle="1" w:styleId="49">
    <w:name w:val="nth-child(3)"/>
    <w:basedOn w:val="24"/>
    <w:qFormat/>
    <w:uiPriority w:val="0"/>
  </w:style>
  <w:style w:type="character" w:customStyle="1" w:styleId="50">
    <w:name w:val="font41"/>
    <w:basedOn w:val="24"/>
    <w:qFormat/>
    <w:uiPriority w:val="0"/>
    <w:rPr>
      <w:rFonts w:ascii="黑体" w:hAnsi="宋体" w:eastAsia="黑体" w:cs="黑体"/>
      <w:color w:val="000000"/>
      <w:sz w:val="21"/>
      <w:szCs w:val="21"/>
      <w:u w:val="none"/>
    </w:rPr>
  </w:style>
  <w:style w:type="character" w:customStyle="1" w:styleId="51">
    <w:name w:val="font21"/>
    <w:basedOn w:val="24"/>
    <w:qFormat/>
    <w:uiPriority w:val="0"/>
    <w:rPr>
      <w:rFonts w:hint="default" w:ascii="仿宋_GB2312" w:eastAsia="仿宋_GB2312" w:cs="仿宋_GB2312"/>
      <w:color w:val="000000"/>
      <w:sz w:val="21"/>
      <w:szCs w:val="21"/>
      <w:u w:val="none"/>
    </w:rPr>
  </w:style>
  <w:style w:type="character" w:customStyle="1" w:styleId="52">
    <w:name w:val="font31"/>
    <w:basedOn w:val="24"/>
    <w:qFormat/>
    <w:uiPriority w:val="0"/>
    <w:rPr>
      <w:rFonts w:hint="default" w:ascii="Times New Roman" w:hAnsi="Times New Roman" w:cs="Times New Roman"/>
      <w:color w:val="000000"/>
      <w:sz w:val="21"/>
      <w:szCs w:val="21"/>
      <w:u w:val="none"/>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5">
    <w:name w:val="NormalCharacter"/>
    <w:qFormat/>
    <w:uiPriority w:val="0"/>
  </w:style>
  <w:style w:type="paragraph" w:styleId="56">
    <w:name w:val="List Paragraph"/>
    <w:basedOn w:val="1"/>
    <w:unhideWhenUsed/>
    <w:qFormat/>
    <w:uiPriority w:val="34"/>
    <w:pPr>
      <w:ind w:firstLine="420"/>
    </w:pPr>
  </w:style>
  <w:style w:type="paragraph" w:customStyle="1" w:styleId="57">
    <w:name w:val="WPSOffice手动目录 3"/>
    <w:qFormat/>
    <w:uiPriority w:val="0"/>
    <w:pPr>
      <w:ind w:left="400" w:leftChars="400"/>
    </w:pPr>
    <w:rPr>
      <w:rFonts w:ascii="Calibri" w:hAnsi="Calibri" w:eastAsia="宋体" w:cs="Times New Roman"/>
      <w:lang w:val="en-US" w:eastAsia="zh-CN" w:bidi="ar-SA"/>
    </w:rPr>
  </w:style>
  <w:style w:type="character" w:customStyle="1" w:styleId="58">
    <w:name w:val="HTML 预设格式 字符"/>
    <w:basedOn w:val="24"/>
    <w:link w:val="18"/>
    <w:semiHidden/>
    <w:qFormat/>
    <w:uiPriority w:val="99"/>
    <w:rPr>
      <w:rFonts w:ascii="宋体" w:hAnsi="宋体"/>
      <w:sz w:val="24"/>
      <w:szCs w:val="24"/>
    </w:rPr>
  </w:style>
  <w:style w:type="character" w:customStyle="1" w:styleId="59">
    <w:name w:val="dot"/>
    <w:basedOn w:val="24"/>
    <w:qFormat/>
    <w:uiPriority w:val="0"/>
  </w:style>
  <w:style w:type="character" w:customStyle="1" w:styleId="60">
    <w:name w:val="hover37"/>
    <w:basedOn w:val="24"/>
    <w:qFormat/>
    <w:uiPriority w:val="0"/>
  </w:style>
  <w:style w:type="character" w:customStyle="1" w:styleId="61">
    <w:name w:val="hover38"/>
    <w:basedOn w:val="24"/>
    <w:qFormat/>
    <w:uiPriority w:val="0"/>
  </w:style>
  <w:style w:type="character" w:customStyle="1" w:styleId="62">
    <w:name w:val="hover39"/>
    <w:basedOn w:val="24"/>
    <w:qFormat/>
    <w:uiPriority w:val="0"/>
  </w:style>
  <w:style w:type="character" w:customStyle="1" w:styleId="63">
    <w:name w:val="hover40"/>
    <w:basedOn w:val="24"/>
    <w:qFormat/>
    <w:uiPriority w:val="0"/>
  </w:style>
  <w:style w:type="character" w:customStyle="1" w:styleId="64">
    <w:name w:val="first-child"/>
    <w:basedOn w:val="24"/>
    <w:qFormat/>
    <w:uiPriority w:val="0"/>
  </w:style>
  <w:style w:type="character" w:customStyle="1" w:styleId="65">
    <w:name w:val="layui-layer-tabnow"/>
    <w:basedOn w:val="24"/>
    <w:qFormat/>
    <w:uiPriority w:val="0"/>
    <w:rPr>
      <w:bdr w:val="single" w:color="CCCCCC" w:sz="6" w:space="0"/>
      <w:shd w:val="clear" w:color="auto" w:fill="FFFFFF"/>
    </w:rPr>
  </w:style>
  <w:style w:type="character" w:customStyle="1" w:styleId="66">
    <w:name w:val="textr"/>
    <w:basedOn w:val="24"/>
    <w:qFormat/>
    <w:uiPriority w:val="0"/>
  </w:style>
  <w:style w:type="character" w:customStyle="1" w:styleId="67">
    <w:name w:val="name"/>
    <w:basedOn w:val="24"/>
    <w:qFormat/>
    <w:uiPriority w:val="0"/>
  </w:style>
  <w:style w:type="character" w:customStyle="1" w:styleId="68">
    <w:name w:val="time"/>
    <w:basedOn w:val="24"/>
    <w:qFormat/>
    <w:uiPriority w:val="0"/>
    <w:rPr>
      <w:color w:val="999999"/>
    </w:rPr>
  </w:style>
  <w:style w:type="character" w:customStyle="1" w:styleId="69">
    <w:name w:val="number"/>
    <w:basedOn w:val="24"/>
    <w:qFormat/>
    <w:uiPriority w:val="0"/>
  </w:style>
  <w:style w:type="character" w:customStyle="1" w:styleId="70">
    <w:name w:val="wenhao"/>
    <w:basedOn w:val="24"/>
    <w:qFormat/>
    <w:uiPriority w:val="0"/>
  </w:style>
  <w:style w:type="paragraph" w:customStyle="1" w:styleId="71">
    <w:name w:val="修订1"/>
    <w:hidden/>
    <w:semiHidden/>
    <w:qFormat/>
    <w:uiPriority w:val="99"/>
    <w:rPr>
      <w:rFonts w:ascii="仿宋" w:hAnsi="仿宋" w:eastAsia="仿宋" w:cs="仿宋"/>
      <w:kern w:val="2"/>
      <w:sz w:val="32"/>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3bc1ec-03e0-4667-b662-188d3491d775}"/>
        <w:style w:val=""/>
        <w:category>
          <w:name w:val="常规"/>
          <w:gallery w:val="placeholder"/>
        </w:category>
        <w:types>
          <w:type w:val="bbPlcHdr"/>
        </w:types>
        <w:behaviors>
          <w:behavior w:val="content"/>
        </w:behaviors>
        <w:description w:val=""/>
        <w:guid w:val="{ac3bc1ec-03e0-4667-b662-188d3491d775}"/>
      </w:docPartPr>
      <w:docPartBody>
        <w:p w14:paraId="406BE645">
          <w:r>
            <w:rPr>
              <w:color w:val="808080"/>
            </w:rPr>
            <w:t>单击此处输入文字。</w:t>
          </w:r>
        </w:p>
      </w:docPartBody>
    </w:docPart>
    <w:docPart>
      <w:docPartPr>
        <w:name w:val="{4f1f68dd-ecd0-4ca7-b495-aa56d68fc3bd}"/>
        <w:style w:val=""/>
        <w:category>
          <w:name w:val="常规"/>
          <w:gallery w:val="placeholder"/>
        </w:category>
        <w:types>
          <w:type w:val="bbPlcHdr"/>
        </w:types>
        <w:behaviors>
          <w:behavior w:val="content"/>
        </w:behaviors>
        <w:description w:val=""/>
        <w:guid w:val="{4f1f68dd-ecd0-4ca7-b495-aa56d68fc3bd}"/>
      </w:docPartPr>
      <w:docPartBody>
        <w:p w14:paraId="526498D0">
          <w:r>
            <w:rPr>
              <w:color w:val="808080"/>
            </w:rPr>
            <w:t>单击此处输入文字。</w:t>
          </w:r>
        </w:p>
      </w:docPartBody>
    </w:docPart>
    <w:docPart>
      <w:docPartPr>
        <w:name w:val="{dee867cc-6404-49c9-9c30-21ed03c18116}"/>
        <w:style w:val=""/>
        <w:category>
          <w:name w:val="常规"/>
          <w:gallery w:val="placeholder"/>
        </w:category>
        <w:types>
          <w:type w:val="bbPlcHdr"/>
        </w:types>
        <w:behaviors>
          <w:behavior w:val="content"/>
        </w:behaviors>
        <w:description w:val=""/>
        <w:guid w:val="{dee867cc-6404-49c9-9c30-21ed03c18116}"/>
      </w:docPartPr>
      <w:docPartBody>
        <w:p w14:paraId="2E898FC5">
          <w:r>
            <w:rPr>
              <w:color w:val="808080"/>
            </w:rPr>
            <w:t>单击此处输入文字。</w:t>
          </w:r>
        </w:p>
      </w:docPartBody>
    </w:docPart>
    <w:docPart>
      <w:docPartPr>
        <w:name w:val="{4f02a353-52a8-4645-a647-5cfa0d09f3ab}"/>
        <w:style w:val=""/>
        <w:category>
          <w:name w:val="常规"/>
          <w:gallery w:val="placeholder"/>
        </w:category>
        <w:types>
          <w:type w:val="bbPlcHdr"/>
        </w:types>
        <w:behaviors>
          <w:behavior w:val="content"/>
        </w:behaviors>
        <w:description w:val=""/>
        <w:guid w:val="{4f02a353-52a8-4645-a647-5cfa0d09f3ab}"/>
      </w:docPartPr>
      <w:docPartBody>
        <w:p w14:paraId="7304D18F">
          <w:r>
            <w:rPr>
              <w:color w:val="808080"/>
            </w:rPr>
            <w:t>单击此处输入文字。</w:t>
          </w:r>
        </w:p>
      </w:docPartBody>
    </w:docPart>
    <w:docPart>
      <w:docPartPr>
        <w:name w:val="{4b1eb7f5-1db0-4ff3-b8ed-b2597116c10f}"/>
        <w:style w:val=""/>
        <w:category>
          <w:name w:val="常规"/>
          <w:gallery w:val="placeholder"/>
        </w:category>
        <w:types>
          <w:type w:val="bbPlcHdr"/>
        </w:types>
        <w:behaviors>
          <w:behavior w:val="content"/>
        </w:behaviors>
        <w:description w:val=""/>
        <w:guid w:val="{4b1eb7f5-1db0-4ff3-b8ed-b2597116c10f}"/>
      </w:docPartPr>
      <w:docPartBody>
        <w:p w14:paraId="1AC435BD">
          <w:r>
            <w:rPr>
              <w:color w:val="808080"/>
            </w:rPr>
            <w:t>单击此处输入文字。</w:t>
          </w:r>
        </w:p>
      </w:docPartBody>
    </w:docPart>
    <w:docPart>
      <w:docPartPr>
        <w:name w:val="{b0a3e4fb-24c9-450a-b597-f8ea008bb2fe}"/>
        <w:style w:val=""/>
        <w:category>
          <w:name w:val="常规"/>
          <w:gallery w:val="placeholder"/>
        </w:category>
        <w:types>
          <w:type w:val="bbPlcHdr"/>
        </w:types>
        <w:behaviors>
          <w:behavior w:val="content"/>
        </w:behaviors>
        <w:description w:val=""/>
        <w:guid w:val="{b0a3e4fb-24c9-450a-b597-f8ea008bb2fe}"/>
      </w:docPartPr>
      <w:docPartBody>
        <w:p w14:paraId="6E2C3ABF">
          <w:r>
            <w:rPr>
              <w:color w:val="808080"/>
            </w:rPr>
            <w:t>单击此处输入文字。</w:t>
          </w:r>
        </w:p>
      </w:docPartBody>
    </w:docPart>
    <w:docPart>
      <w:docPartPr>
        <w:name w:val="{4b28ef54-4581-4a96-a74a-8952fe47b2f6}"/>
        <w:style w:val=""/>
        <w:category>
          <w:name w:val="常规"/>
          <w:gallery w:val="placeholder"/>
        </w:category>
        <w:types>
          <w:type w:val="bbPlcHdr"/>
        </w:types>
        <w:behaviors>
          <w:behavior w:val="content"/>
        </w:behaviors>
        <w:description w:val=""/>
        <w:guid w:val="{4b28ef54-4581-4a96-a74a-8952fe47b2f6}"/>
      </w:docPartPr>
      <w:docPartBody>
        <w:p w14:paraId="32A30953">
          <w:r>
            <w:rPr>
              <w:color w:val="808080"/>
            </w:rPr>
            <w:t>单击此处输入文字。</w:t>
          </w:r>
        </w:p>
      </w:docPartBody>
    </w:docPart>
    <w:docPart>
      <w:docPartPr>
        <w:name w:val="{03eeb297-ab44-4c32-8271-aa12b9b6cb18}"/>
        <w:style w:val=""/>
        <w:category>
          <w:name w:val="常规"/>
          <w:gallery w:val="placeholder"/>
        </w:category>
        <w:types>
          <w:type w:val="bbPlcHdr"/>
        </w:types>
        <w:behaviors>
          <w:behavior w:val="content"/>
        </w:behaviors>
        <w:description w:val=""/>
        <w:guid w:val="{03eeb297-ab44-4c32-8271-aa12b9b6cb18}"/>
      </w:docPartPr>
      <w:docPartBody>
        <w:p w14:paraId="45C6D444">
          <w:r>
            <w:rPr>
              <w:color w:val="808080"/>
            </w:rPr>
            <w:t>单击此处输入文字。</w:t>
          </w:r>
        </w:p>
      </w:docPartBody>
    </w:docPart>
    <w:docPart>
      <w:docPartPr>
        <w:name w:val="{b3a62efa-a45c-447c-ac3e-d6bccf7aab8d}"/>
        <w:style w:val=""/>
        <w:category>
          <w:name w:val="常规"/>
          <w:gallery w:val="placeholder"/>
        </w:category>
        <w:types>
          <w:type w:val="bbPlcHdr"/>
        </w:types>
        <w:behaviors>
          <w:behavior w:val="content"/>
        </w:behaviors>
        <w:description w:val=""/>
        <w:guid w:val="{b3a62efa-a45c-447c-ac3e-d6bccf7aab8d}"/>
      </w:docPartPr>
      <w:docPartBody>
        <w:p w14:paraId="5EC56226">
          <w:r>
            <w:rPr>
              <w:color w:val="808080"/>
            </w:rPr>
            <w:t>单击此处输入文字。</w:t>
          </w:r>
        </w:p>
      </w:docPartBody>
    </w:docPart>
    <w:docPart>
      <w:docPartPr>
        <w:name w:val="{27c5832c-2057-4a95-a96a-61024d2246ed}"/>
        <w:style w:val=""/>
        <w:category>
          <w:name w:val="常规"/>
          <w:gallery w:val="placeholder"/>
        </w:category>
        <w:types>
          <w:type w:val="bbPlcHdr"/>
        </w:types>
        <w:behaviors>
          <w:behavior w:val="content"/>
        </w:behaviors>
        <w:description w:val=""/>
        <w:guid w:val="{27c5832c-2057-4a95-a96a-61024d2246ed}"/>
      </w:docPartPr>
      <w:docPartBody>
        <w:p w14:paraId="47003AD3">
          <w:r>
            <w:rPr>
              <w:color w:val="808080"/>
            </w:rPr>
            <w:t>单击此处输入文字。</w:t>
          </w:r>
        </w:p>
      </w:docPartBody>
    </w:docPart>
    <w:docPart>
      <w:docPartPr>
        <w:name w:val="{7134d17a-26a4-4ac5-87dd-3780d122ab50}"/>
        <w:style w:val=""/>
        <w:category>
          <w:name w:val="常规"/>
          <w:gallery w:val="placeholder"/>
        </w:category>
        <w:types>
          <w:type w:val="bbPlcHdr"/>
        </w:types>
        <w:behaviors>
          <w:behavior w:val="content"/>
        </w:behaviors>
        <w:description w:val=""/>
        <w:guid w:val="{7134d17a-26a4-4ac5-87dd-3780d122ab50}"/>
      </w:docPartPr>
      <w:docPartBody>
        <w:p w14:paraId="4CB4A590">
          <w:r>
            <w:rPr>
              <w:color w:val="808080"/>
            </w:rPr>
            <w:t>单击此处输入文字。</w:t>
          </w:r>
        </w:p>
      </w:docPartBody>
    </w:docPart>
    <w:docPart>
      <w:docPartPr>
        <w:name w:val="{91994f4f-2b9d-4b66-ab22-ea6413c460ee}"/>
        <w:style w:val=""/>
        <w:category>
          <w:name w:val="常规"/>
          <w:gallery w:val="placeholder"/>
        </w:category>
        <w:types>
          <w:type w:val="bbPlcHdr"/>
        </w:types>
        <w:behaviors>
          <w:behavior w:val="content"/>
        </w:behaviors>
        <w:description w:val=""/>
        <w:guid w:val="{91994f4f-2b9d-4b66-ab22-ea6413c460ee}"/>
      </w:docPartPr>
      <w:docPartBody>
        <w:p w14:paraId="5402371C">
          <w:r>
            <w:rPr>
              <w:color w:val="808080"/>
            </w:rPr>
            <w:t>单击此处输入文字。</w:t>
          </w:r>
        </w:p>
      </w:docPartBody>
    </w:docPart>
    <w:docPart>
      <w:docPartPr>
        <w:name w:val="{710c2529-ed3b-4b83-8e42-8c1baf9c9406}"/>
        <w:style w:val=""/>
        <w:category>
          <w:name w:val="常规"/>
          <w:gallery w:val="placeholder"/>
        </w:category>
        <w:types>
          <w:type w:val="bbPlcHdr"/>
        </w:types>
        <w:behaviors>
          <w:behavior w:val="content"/>
        </w:behaviors>
        <w:description w:val=""/>
        <w:guid w:val="{710c2529-ed3b-4b83-8e42-8c1baf9c9406}"/>
      </w:docPartPr>
      <w:docPartBody>
        <w:p w14:paraId="36D027A8">
          <w:r>
            <w:rPr>
              <w:color w:val="808080"/>
            </w:rPr>
            <w:t>单击此处输入文字。</w:t>
          </w:r>
        </w:p>
      </w:docPartBody>
    </w:docPart>
    <w:docPart>
      <w:docPartPr>
        <w:name w:val="{252d95dd-3c0a-4856-90df-2f0e48e7c727}"/>
        <w:style w:val=""/>
        <w:category>
          <w:name w:val="常规"/>
          <w:gallery w:val="placeholder"/>
        </w:category>
        <w:types>
          <w:type w:val="bbPlcHdr"/>
        </w:types>
        <w:behaviors>
          <w:behavior w:val="content"/>
        </w:behaviors>
        <w:description w:val=""/>
        <w:guid w:val="{252d95dd-3c0a-4856-90df-2f0e48e7c727}"/>
      </w:docPartPr>
      <w:docPartBody>
        <w:p w14:paraId="1E111470">
          <w:r>
            <w:rPr>
              <w:color w:val="808080"/>
            </w:rPr>
            <w:t>单击此处输入文字。</w:t>
          </w:r>
        </w:p>
      </w:docPartBody>
    </w:docPart>
    <w:docPart>
      <w:docPartPr>
        <w:name w:val="{79b1ccbf-59da-457b-b70f-f0c2ca6f164a}"/>
        <w:style w:val=""/>
        <w:category>
          <w:name w:val="常规"/>
          <w:gallery w:val="placeholder"/>
        </w:category>
        <w:types>
          <w:type w:val="bbPlcHdr"/>
        </w:types>
        <w:behaviors>
          <w:behavior w:val="content"/>
        </w:behaviors>
        <w:description w:val=""/>
        <w:guid w:val="{79b1ccbf-59da-457b-b70f-f0c2ca6f164a}"/>
      </w:docPartPr>
      <w:docPartBody>
        <w:p w14:paraId="1345332B">
          <w:r>
            <w:rPr>
              <w:color w:val="808080"/>
            </w:rPr>
            <w:t>单击此处输入文字。</w:t>
          </w:r>
        </w:p>
      </w:docPartBody>
    </w:docPart>
    <w:docPart>
      <w:docPartPr>
        <w:name w:val="{d6646549-8313-4a19-b746-4e667d236abb}"/>
        <w:style w:val=""/>
        <w:category>
          <w:name w:val="常规"/>
          <w:gallery w:val="placeholder"/>
        </w:category>
        <w:types>
          <w:type w:val="bbPlcHdr"/>
        </w:types>
        <w:behaviors>
          <w:behavior w:val="content"/>
        </w:behaviors>
        <w:description w:val=""/>
        <w:guid w:val="{d6646549-8313-4a19-b746-4e667d236abb}"/>
      </w:docPartPr>
      <w:docPartBody>
        <w:p w14:paraId="73D88078">
          <w:r>
            <w:rPr>
              <w:color w:val="808080"/>
            </w:rPr>
            <w:t>单击此处输入文字。</w:t>
          </w:r>
        </w:p>
      </w:docPartBody>
    </w:docPart>
    <w:docPart>
      <w:docPartPr>
        <w:name w:val="{86649eed-c750-4f98-8e2c-473e4b72d938}"/>
        <w:style w:val=""/>
        <w:category>
          <w:name w:val="常规"/>
          <w:gallery w:val="placeholder"/>
        </w:category>
        <w:types>
          <w:type w:val="bbPlcHdr"/>
        </w:types>
        <w:behaviors>
          <w:behavior w:val="content"/>
        </w:behaviors>
        <w:description w:val=""/>
        <w:guid w:val="{86649eed-c750-4f98-8e2c-473e4b72d938}"/>
      </w:docPartPr>
      <w:docPartBody>
        <w:p w14:paraId="65494758">
          <w:r>
            <w:rPr>
              <w:color w:val="808080"/>
            </w:rPr>
            <w:t>单击此处输入文字。</w:t>
          </w:r>
        </w:p>
      </w:docPartBody>
    </w:docPart>
    <w:docPart>
      <w:docPartPr>
        <w:name w:val="{048a9fc7-bf6d-43f8-97f9-0bd8bf840530}"/>
        <w:style w:val=""/>
        <w:category>
          <w:name w:val="常规"/>
          <w:gallery w:val="placeholder"/>
        </w:category>
        <w:types>
          <w:type w:val="bbPlcHdr"/>
        </w:types>
        <w:behaviors>
          <w:behavior w:val="content"/>
        </w:behaviors>
        <w:description w:val=""/>
        <w:guid w:val="{048a9fc7-bf6d-43f8-97f9-0bd8bf840530}"/>
      </w:docPartPr>
      <w:docPartBody>
        <w:p w14:paraId="373A72C0">
          <w:r>
            <w:rPr>
              <w:color w:val="808080"/>
            </w:rPr>
            <w:t>单击此处输入文字。</w:t>
          </w:r>
        </w:p>
      </w:docPartBody>
    </w:docPart>
    <w:docPart>
      <w:docPartPr>
        <w:name w:val="{c197c75a-2091-4524-a65d-4cf4bb1d1fc7}"/>
        <w:style w:val=""/>
        <w:category>
          <w:name w:val="常规"/>
          <w:gallery w:val="placeholder"/>
        </w:category>
        <w:types>
          <w:type w:val="bbPlcHdr"/>
        </w:types>
        <w:behaviors>
          <w:behavior w:val="content"/>
        </w:behaviors>
        <w:description w:val=""/>
        <w:guid w:val="{c197c75a-2091-4524-a65d-4cf4bb1d1fc7}"/>
      </w:docPartPr>
      <w:docPartBody>
        <w:p w14:paraId="1EE1954D">
          <w:r>
            <w:rPr>
              <w:color w:val="808080"/>
            </w:rPr>
            <w:t>单击此处输入文字。</w:t>
          </w:r>
        </w:p>
      </w:docPartBody>
    </w:docPart>
    <w:docPart>
      <w:docPartPr>
        <w:name w:val="{ab060550-014f-4aec-8bc6-be96c2fdaa13}"/>
        <w:style w:val=""/>
        <w:category>
          <w:name w:val="常规"/>
          <w:gallery w:val="placeholder"/>
        </w:category>
        <w:types>
          <w:type w:val="bbPlcHdr"/>
        </w:types>
        <w:behaviors>
          <w:behavior w:val="content"/>
        </w:behaviors>
        <w:description w:val=""/>
        <w:guid w:val="{ab060550-014f-4aec-8bc6-be96c2fdaa13}"/>
      </w:docPartPr>
      <w:docPartBody>
        <w:p w14:paraId="76017FED">
          <w:r>
            <w:rPr>
              <w:color w:val="808080"/>
            </w:rPr>
            <w:t>单击此处输入文字。</w:t>
          </w:r>
        </w:p>
      </w:docPartBody>
    </w:docPart>
    <w:docPart>
      <w:docPartPr>
        <w:name w:val="{af96d871-fba6-43ce-bf81-81c5214fe679}"/>
        <w:style w:val=""/>
        <w:category>
          <w:name w:val="常规"/>
          <w:gallery w:val="placeholder"/>
        </w:category>
        <w:types>
          <w:type w:val="bbPlcHdr"/>
        </w:types>
        <w:behaviors>
          <w:behavior w:val="content"/>
        </w:behaviors>
        <w:description w:val=""/>
        <w:guid w:val="{af96d871-fba6-43ce-bf81-81c5214fe679}"/>
      </w:docPartPr>
      <w:docPartBody>
        <w:p w14:paraId="00C2D153">
          <w:r>
            <w:rPr>
              <w:color w:val="808080"/>
            </w:rPr>
            <w:t>单击此处输入文字。</w:t>
          </w:r>
        </w:p>
      </w:docPartBody>
    </w:docPart>
    <w:docPart>
      <w:docPartPr>
        <w:name w:val="{e78bfbe1-4792-4d13-aff9-4f0b828db9ed}"/>
        <w:style w:val=""/>
        <w:category>
          <w:name w:val="常规"/>
          <w:gallery w:val="placeholder"/>
        </w:category>
        <w:types>
          <w:type w:val="bbPlcHdr"/>
        </w:types>
        <w:behaviors>
          <w:behavior w:val="content"/>
        </w:behaviors>
        <w:description w:val=""/>
        <w:guid w:val="{e78bfbe1-4792-4d13-aff9-4f0b828db9ed}"/>
      </w:docPartPr>
      <w:docPartBody>
        <w:p w14:paraId="72FCDCD1">
          <w:r>
            <w:rPr>
              <w:color w:val="808080"/>
            </w:rPr>
            <w:t>单击此处输入文字。</w:t>
          </w:r>
        </w:p>
      </w:docPartBody>
    </w:docPart>
    <w:docPart>
      <w:docPartPr>
        <w:name w:val="{4bd1ad6d-a155-4ea1-88da-9b4400cb914f}"/>
        <w:style w:val=""/>
        <w:category>
          <w:name w:val="常规"/>
          <w:gallery w:val="placeholder"/>
        </w:category>
        <w:types>
          <w:type w:val="bbPlcHdr"/>
        </w:types>
        <w:behaviors>
          <w:behavior w:val="content"/>
        </w:behaviors>
        <w:description w:val=""/>
        <w:guid w:val="{4bd1ad6d-a155-4ea1-88da-9b4400cb914f}"/>
      </w:docPartPr>
      <w:docPartBody>
        <w:p w14:paraId="1945F07F">
          <w:r>
            <w:rPr>
              <w:color w:val="808080"/>
            </w:rPr>
            <w:t>单击此处输入文字。</w:t>
          </w:r>
        </w:p>
      </w:docPartBody>
    </w:docPart>
    <w:docPart>
      <w:docPartPr>
        <w:name w:val="{182f5e0c-64ac-40f3-9da2-2ac36a3375fa}"/>
        <w:style w:val=""/>
        <w:category>
          <w:name w:val="常规"/>
          <w:gallery w:val="placeholder"/>
        </w:category>
        <w:types>
          <w:type w:val="bbPlcHdr"/>
        </w:types>
        <w:behaviors>
          <w:behavior w:val="content"/>
        </w:behaviors>
        <w:description w:val=""/>
        <w:guid w:val="{182f5e0c-64ac-40f3-9da2-2ac36a3375fa}"/>
      </w:docPartPr>
      <w:docPartBody>
        <w:p w14:paraId="58666006">
          <w:r>
            <w:rPr>
              <w:color w:val="808080"/>
            </w:rPr>
            <w:t>单击此处输入文字。</w:t>
          </w:r>
        </w:p>
      </w:docPartBody>
    </w:docPart>
    <w:docPart>
      <w:docPartPr>
        <w:name w:val="{95eeb6c1-2947-4b67-af98-429cfb2ce072}"/>
        <w:style w:val=""/>
        <w:category>
          <w:name w:val="常规"/>
          <w:gallery w:val="placeholder"/>
        </w:category>
        <w:types>
          <w:type w:val="bbPlcHdr"/>
        </w:types>
        <w:behaviors>
          <w:behavior w:val="content"/>
        </w:behaviors>
        <w:description w:val=""/>
        <w:guid w:val="{95eeb6c1-2947-4b67-af98-429cfb2ce072}"/>
      </w:docPartPr>
      <w:docPartBody>
        <w:p w14:paraId="6266C54A">
          <w:r>
            <w:rPr>
              <w:color w:val="808080"/>
            </w:rPr>
            <w:t>单击此处输入文字。</w:t>
          </w:r>
        </w:p>
      </w:docPartBody>
    </w:docPart>
    <w:docPart>
      <w:docPartPr>
        <w:name w:val="{ca1ff0fa-e89e-465c-8f53-f3123c4b0b55}"/>
        <w:style w:val=""/>
        <w:category>
          <w:name w:val="常规"/>
          <w:gallery w:val="placeholder"/>
        </w:category>
        <w:types>
          <w:type w:val="bbPlcHdr"/>
        </w:types>
        <w:behaviors>
          <w:behavior w:val="content"/>
        </w:behaviors>
        <w:description w:val=""/>
        <w:guid w:val="{ca1ff0fa-e89e-465c-8f53-f3123c4b0b55}"/>
      </w:docPartPr>
      <w:docPartBody>
        <w:p w14:paraId="7F37768E">
          <w:r>
            <w:rPr>
              <w:color w:val="808080"/>
            </w:rPr>
            <w:t>单击此处输入文字。</w:t>
          </w:r>
        </w:p>
      </w:docPartBody>
    </w:docPart>
    <w:docPart>
      <w:docPartPr>
        <w:name w:val="{63751a53-4b5b-487f-bf5e-e84c92f7369f}"/>
        <w:style w:val=""/>
        <w:category>
          <w:name w:val="常规"/>
          <w:gallery w:val="placeholder"/>
        </w:category>
        <w:types>
          <w:type w:val="bbPlcHdr"/>
        </w:types>
        <w:behaviors>
          <w:behavior w:val="content"/>
        </w:behaviors>
        <w:description w:val=""/>
        <w:guid w:val="{63751a53-4b5b-487f-bf5e-e84c92f7369f}"/>
      </w:docPartPr>
      <w:docPartBody>
        <w:p w14:paraId="571F0C3B">
          <w:r>
            <w:rPr>
              <w:color w:val="808080"/>
            </w:rPr>
            <w:t>单击此处输入文字。</w:t>
          </w:r>
        </w:p>
      </w:docPartBody>
    </w:docPart>
    <w:docPart>
      <w:docPartPr>
        <w:name w:val="{95228a47-0cc9-47ac-9f6c-63ad4ddc17d9}"/>
        <w:style w:val=""/>
        <w:category>
          <w:name w:val="常规"/>
          <w:gallery w:val="placeholder"/>
        </w:category>
        <w:types>
          <w:type w:val="bbPlcHdr"/>
        </w:types>
        <w:behaviors>
          <w:behavior w:val="content"/>
        </w:behaviors>
        <w:description w:val=""/>
        <w:guid w:val="{95228a47-0cc9-47ac-9f6c-63ad4ddc17d9}"/>
      </w:docPartPr>
      <w:docPartBody>
        <w:p w14:paraId="4CE4CFB1">
          <w:r>
            <w:rPr>
              <w:color w:val="808080"/>
            </w:rPr>
            <w:t>单击此处输入文字。</w:t>
          </w:r>
        </w:p>
      </w:docPartBody>
    </w:docPart>
    <w:docPart>
      <w:docPartPr>
        <w:name w:val="{9a227344-7faf-471f-aa8f-43d442c1bcd9}"/>
        <w:style w:val=""/>
        <w:category>
          <w:name w:val="常规"/>
          <w:gallery w:val="placeholder"/>
        </w:category>
        <w:types>
          <w:type w:val="bbPlcHdr"/>
        </w:types>
        <w:behaviors>
          <w:behavior w:val="content"/>
        </w:behaviors>
        <w:description w:val=""/>
        <w:guid w:val="{9a227344-7faf-471f-aa8f-43d442c1bcd9}"/>
      </w:docPartPr>
      <w:docPartBody>
        <w:p w14:paraId="62BA278A">
          <w:r>
            <w:rPr>
              <w:color w:val="808080"/>
            </w:rPr>
            <w:t>单击此处输入文字。</w:t>
          </w:r>
        </w:p>
      </w:docPartBody>
    </w:docPart>
    <w:docPart>
      <w:docPartPr>
        <w:name w:val="{a1680f27-bef2-43a5-af5a-3060dd226ee2}"/>
        <w:style w:val=""/>
        <w:category>
          <w:name w:val="常规"/>
          <w:gallery w:val="placeholder"/>
        </w:category>
        <w:types>
          <w:type w:val="bbPlcHdr"/>
        </w:types>
        <w:behaviors>
          <w:behavior w:val="content"/>
        </w:behaviors>
        <w:description w:val=""/>
        <w:guid w:val="{a1680f27-bef2-43a5-af5a-3060dd226ee2}"/>
      </w:docPartPr>
      <w:docPartBody>
        <w:p w14:paraId="7BBC434A">
          <w:r>
            <w:rPr>
              <w:color w:val="808080"/>
            </w:rPr>
            <w:t>单击此处输入文字。</w:t>
          </w:r>
        </w:p>
      </w:docPartBody>
    </w:docPart>
    <w:docPart>
      <w:docPartPr>
        <w:name w:val="{20f81260-bc2e-40d2-9122-54166fc0c12c}"/>
        <w:style w:val=""/>
        <w:category>
          <w:name w:val="常规"/>
          <w:gallery w:val="placeholder"/>
        </w:category>
        <w:types>
          <w:type w:val="bbPlcHdr"/>
        </w:types>
        <w:behaviors>
          <w:behavior w:val="content"/>
        </w:behaviors>
        <w:description w:val=""/>
        <w:guid w:val="{20f81260-bc2e-40d2-9122-54166fc0c12c}"/>
      </w:docPartPr>
      <w:docPartBody>
        <w:p w14:paraId="776BD6BC">
          <w:r>
            <w:rPr>
              <w:color w:val="808080"/>
            </w:rPr>
            <w:t>单击此处输入文字。</w:t>
          </w:r>
        </w:p>
      </w:docPartBody>
    </w:docPart>
    <w:docPart>
      <w:docPartPr>
        <w:name w:val="{59a2e0b1-6196-4158-bd23-4c11f7391d52}"/>
        <w:style w:val=""/>
        <w:category>
          <w:name w:val="常规"/>
          <w:gallery w:val="placeholder"/>
        </w:category>
        <w:types>
          <w:type w:val="bbPlcHdr"/>
        </w:types>
        <w:behaviors>
          <w:behavior w:val="content"/>
        </w:behaviors>
        <w:description w:val=""/>
        <w:guid w:val="{59a2e0b1-6196-4158-bd23-4c11f7391d52}"/>
      </w:docPartPr>
      <w:docPartBody>
        <w:p w14:paraId="1FE6D7FF">
          <w:r>
            <w:rPr>
              <w:color w:val="808080"/>
            </w:rPr>
            <w:t>单击此处输入文字。</w:t>
          </w:r>
        </w:p>
      </w:docPartBody>
    </w:docPart>
    <w:docPart>
      <w:docPartPr>
        <w:name w:val="{c0ada4e6-50a2-49f6-956e-a45158ad5a17}"/>
        <w:style w:val=""/>
        <w:category>
          <w:name w:val="常规"/>
          <w:gallery w:val="placeholder"/>
        </w:category>
        <w:types>
          <w:type w:val="bbPlcHdr"/>
        </w:types>
        <w:behaviors>
          <w:behavior w:val="content"/>
        </w:behaviors>
        <w:description w:val=""/>
        <w:guid w:val="{c0ada4e6-50a2-49f6-956e-a45158ad5a17}"/>
      </w:docPartPr>
      <w:docPartBody>
        <w:p w14:paraId="0F7D57D2">
          <w:r>
            <w:rPr>
              <w:color w:val="808080"/>
            </w:rPr>
            <w:t>单击此处输入文字。</w:t>
          </w:r>
        </w:p>
      </w:docPartBody>
    </w:docPart>
    <w:docPart>
      <w:docPartPr>
        <w:name w:val="{ac51282f-dbec-4b6a-8384-8f20dc659747}"/>
        <w:style w:val=""/>
        <w:category>
          <w:name w:val="常规"/>
          <w:gallery w:val="placeholder"/>
        </w:category>
        <w:types>
          <w:type w:val="bbPlcHdr"/>
        </w:types>
        <w:behaviors>
          <w:behavior w:val="content"/>
        </w:behaviors>
        <w:description w:val=""/>
        <w:guid w:val="{ac51282f-dbec-4b6a-8384-8f20dc659747}"/>
      </w:docPartPr>
      <w:docPartBody>
        <w:p w14:paraId="7F010207">
          <w:r>
            <w:rPr>
              <w:color w:val="808080"/>
            </w:rPr>
            <w:t>单击此处输入文字。</w:t>
          </w:r>
        </w:p>
      </w:docPartBody>
    </w:docPart>
    <w:docPart>
      <w:docPartPr>
        <w:name w:val="{e77f62ab-1911-4253-89ac-39e8e8d8e1ef}"/>
        <w:style w:val=""/>
        <w:category>
          <w:name w:val="常规"/>
          <w:gallery w:val="placeholder"/>
        </w:category>
        <w:types>
          <w:type w:val="bbPlcHdr"/>
        </w:types>
        <w:behaviors>
          <w:behavior w:val="content"/>
        </w:behaviors>
        <w:description w:val=""/>
        <w:guid w:val="{e77f62ab-1911-4253-89ac-39e8e8d8e1ef}"/>
      </w:docPartPr>
      <w:docPartBody>
        <w:p w14:paraId="7842E1EF">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17885</Words>
  <Characters>18216</Characters>
  <Lines>185</Lines>
  <Paragraphs>52</Paragraphs>
  <TotalTime>12</TotalTime>
  <ScaleCrop>false</ScaleCrop>
  <LinksUpToDate>false</LinksUpToDate>
  <CharactersWithSpaces>18354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2022-12-17T00:42:00Z</dcterms:created>
  <dc:creator>铃铛 铛铛</dc:creator>
  <cp:lastModifiedBy>金天</cp:lastModifiedBy>
  <cp:lastPrinted>2022-11-15T16:55:00Z</cp:lastPrinted>
  <dcterms:modified xsi:type="dcterms:W3CDTF">2024-11-19T02:15:07Z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B30C54984E0547EF9185349985483AAC</vt:lpwstr>
  </property>
</Properties>
</file>