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FF79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cente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p>
    <w:p w14:paraId="5ACE44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atLeast"/>
        <w:ind w:left="0" w:right="0" w:firstLine="0"/>
        <w:jc w:val="center"/>
        <w:textAlignment w:val="auto"/>
        <w:rPr>
          <w:rFonts w:hint="eastAsia" w:ascii="Times New Roman" w:hAnsi="Times New Roman" w:eastAsia="方正小标宋简体" w:cs="Times New Roman"/>
          <w:color w:val="000000" w:themeColor="text1"/>
          <w:w w:val="90"/>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宁河区工业技术改造行动落实方案</w:t>
      </w:r>
      <w:r>
        <w:rPr>
          <w:rFonts w:hint="eastAsia" w:ascii="Times New Roman" w:hAnsi="Times New Roman" w:eastAsia="方正小标宋简体" w:cs="Times New Roman"/>
          <w:color w:val="000000" w:themeColor="text1"/>
          <w:w w:val="90"/>
          <w:sz w:val="44"/>
          <w:szCs w:val="44"/>
          <w:lang w:val="en-US" w:eastAsia="zh-CN"/>
          <w14:textFill>
            <w14:solidFill>
              <w14:schemeClr w14:val="tx1"/>
            </w14:solidFill>
          </w14:textFill>
        </w:rPr>
        <w:t>（2024-2027）</w:t>
      </w:r>
    </w:p>
    <w:p w14:paraId="5825D0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center"/>
        <w:rPr>
          <w:rFonts w:hint="eastAsia" w:ascii="楷体" w:hAnsi="楷体" w:eastAsia="楷体" w:cs="楷体"/>
          <w:color w:val="000000" w:themeColor="text1"/>
          <w:sz w:val="36"/>
          <w:szCs w:val="36"/>
          <w:lang w:val="en-US" w:eastAsia="zh-CN"/>
          <w14:textFill>
            <w14:solidFill>
              <w14:schemeClr w14:val="tx1"/>
            </w14:solidFill>
          </w14:textFill>
        </w:rPr>
      </w:pPr>
      <w:r>
        <w:rPr>
          <w:rFonts w:hint="eastAsia" w:ascii="楷体" w:hAnsi="楷体" w:eastAsia="楷体" w:cs="楷体"/>
          <w:color w:val="000000" w:themeColor="text1"/>
          <w:sz w:val="36"/>
          <w:szCs w:val="36"/>
          <w:lang w:val="en-US" w:eastAsia="zh-CN"/>
          <w14:textFill>
            <w14:solidFill>
              <w14:schemeClr w14:val="tx1"/>
            </w14:solidFill>
          </w14:textFill>
        </w:rPr>
        <w:t>（公开征求意见稿）</w:t>
      </w:r>
    </w:p>
    <w:p w14:paraId="6053E3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eastAsia" w:ascii="方正楷体_GBK" w:hAnsi="方正楷体_GBK" w:eastAsia="方正楷体_GBK" w:cs="方正楷体_GBK"/>
          <w:color w:val="000000" w:themeColor="text1"/>
          <w:sz w:val="36"/>
          <w:szCs w:val="36"/>
          <w:lang w:val="en-US" w:eastAsia="zh-CN"/>
          <w14:textFill>
            <w14:solidFill>
              <w14:schemeClr w14:val="tx1"/>
            </w14:solidFill>
          </w14:textFill>
        </w:rPr>
      </w:pPr>
    </w:p>
    <w:p w14:paraId="40094B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588"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为贯彻落实《天津市</w:t>
      </w:r>
      <w:bookmarkStart w:id="0" w:name="_Hlk98421875"/>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工业技术改造行动方案（2024-2027年）</w:t>
      </w:r>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》文件精神，进一步深化全区工业技术改造工作，推进工业经济高质量发展，结合我区实际，制定本方案。</w:t>
      </w:r>
    </w:p>
    <w:p w14:paraId="22258306">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一、总体要求</w:t>
      </w:r>
    </w:p>
    <w:p w14:paraId="24878754">
      <w:pPr>
        <w:pStyle w:val="14"/>
        <w:keepNext w:val="0"/>
        <w:keepLines w:val="0"/>
        <w:pageBreakBefore w:val="0"/>
        <w:kinsoku/>
        <w:overflowPunct/>
        <w:topLinePunct w:val="0"/>
        <w:bidi w:val="0"/>
        <w:spacing w:line="588"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以习近平新时代中国特色社会主义思想为指导，全面贯彻党的二十大和二十届</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中全会精神，深入学习贯彻习近平总书记视察天津重要讲话精神，贯彻落实国务院推动大规模设备更新和消费品以旧换新工作视频会议部署</w:t>
      </w:r>
      <w:r>
        <w:rPr>
          <w:rFonts w:hint="eastAsia" w:hAnsi="仿宋_GB2312" w:cs="仿宋_GB2312"/>
          <w:color w:val="000000" w:themeColor="text1"/>
          <w:kern w:val="2"/>
          <w:sz w:val="32"/>
          <w:szCs w:val="32"/>
          <w:lang w:val="en-US" w:eastAsia="zh-CN" w:bidi="ar-SA"/>
          <w14:textFill>
            <w14:solidFill>
              <w14:schemeClr w14:val="tx1"/>
            </w14:solidFill>
          </w14:textFill>
        </w:rPr>
        <w:t>和工信部等七部门联合印发的《推动工业领域设备更新实施方案》要求</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坚持市场主导与政府引导相结合，技术创新与技术改造相结合，改造传统产业与发展新兴产业相结合，突出重点与全面提升相结合。围绕推进新型工业化，聚焦重点产业和领域，以工业领域设备更新为抓手，一体推进技术改造，以数字化转型和绿色化升级为重点，推动制造业高端化、智能化、绿色化发展。</w:t>
      </w:r>
    </w:p>
    <w:p w14:paraId="7C2FA3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588" w:lineRule="exact"/>
        <w:ind w:left="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二、主要目标</w:t>
      </w:r>
    </w:p>
    <w:p w14:paraId="3F89E508">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到202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工业</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技术改造对产业高质量发展的贡献作用进一步夯实，工业技术改造投资较2023年增长25%、累计达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到22亿元</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，工业投资结构持续优化。规模以上工业企业数字化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改造全覆盖，数字化</w:t>
      </w:r>
      <w:r>
        <w:rPr>
          <w:rFonts w:hint="eastAsia" w:ascii="仿宋_GB2312" w:hAnsi="仿宋_GB2312" w:eastAsia="仿宋_GB2312" w:cs="仿宋_GB2312"/>
          <w:color w:val="000000" w:themeColor="text1"/>
          <w:sz w:val="32"/>
          <w:szCs w:val="32"/>
          <w:lang w:eastAsia="zh-CN"/>
          <w14:textFill>
            <w14:solidFill>
              <w14:schemeClr w14:val="tx1"/>
            </w14:solidFill>
          </w14:textFill>
        </w:rPr>
        <w:t>研发设计工具普及率、关键工序数控化率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显著提升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。工业技术改造对产业高质量发展的贡献作用进一步夯实，制造业高端化、智能化、绿色化发展水平明显提升，先进产能比重持续提高，产业综合竞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争力显著增强。</w:t>
      </w:r>
    </w:p>
    <w:p w14:paraId="591E4B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88" w:lineRule="exact"/>
        <w:ind w:left="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三、工作举措</w:t>
      </w:r>
    </w:p>
    <w:p w14:paraId="0DF155E9">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（一）落实高端制造提升行动</w:t>
      </w:r>
    </w:p>
    <w:p w14:paraId="4156EE22">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推动传统产业转型。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聚焦我区钢铁、轻工、食品加工、汽车零部件、装备制造等传统产业链，围绕提升龙头企业支撑带动能力，推动新天钢联合特钢、玖龙纸业、天伟食品、华翔金属零部件、泰正机械、荣亨集团、昌昊实业等龙头企业加快淘汰落后低效设备、超期服役老旧设备，鼓励企业加大投资转型力度，引进更新一批行业领先、科技创新、精密高效的先进设备。</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实施高端化改造工程，聚焦提高效率、优化品质、降低成本，分类分级推动企业设备更新和技术改造，进一步提高生产效率和技术水平，激发企业内生动力。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（区工信局、各街镇、园区</w:t>
      </w:r>
      <w:r>
        <w:rPr>
          <w:rFonts w:hint="eastAsia" w:ascii="Times New Roman" w:hAnsi="Times New Roman" w:eastAsia="仿宋_GB2312" w:cs="Times New Roman"/>
          <w:color w:val="000000"/>
          <w:sz w:val="32"/>
          <w:szCs w:val="32"/>
        </w:rPr>
        <w:t>按职责分工负责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596C5C77">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壮大新兴产业规模。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以英利能源、吉星能源、泰氢晨等企业为代表的新能源产业和以华新盈、凯本碳中和、熔石新材料、天宁集思拓、华北精铜等企业为代表的高端材料产业加快本领域技术攻关，以高端研发制造为导向，围绕设计验证、测试验证、工艺验证等中试验证和检验检测环节，更新一批先进设备，积极推动优质技改项目落地，实现产业规模和发展质量双提升。</w:t>
      </w:r>
      <w:r>
        <w:rPr>
          <w:rFonts w:ascii="Times New Roman" w:hAnsi="Times New Roman" w:eastAsia="仿宋_GB2312" w:cs="仿宋_GB2312"/>
          <w:sz w:val="32"/>
          <w:szCs w:val="32"/>
        </w:rPr>
        <w:t>针对低空</w:t>
      </w:r>
      <w:r>
        <w:rPr>
          <w:rFonts w:hint="eastAsia" w:ascii="Times New Roman" w:hAnsi="Times New Roman" w:eastAsia="仿宋_GB2312" w:cs="仿宋_GB2312"/>
          <w:sz w:val="32"/>
          <w:szCs w:val="32"/>
          <w:lang w:val="en-US" w:eastAsia="zh-CN"/>
        </w:rPr>
        <w:t>经济制造</w:t>
      </w:r>
      <w:r>
        <w:rPr>
          <w:rFonts w:ascii="Times New Roman" w:hAnsi="Times New Roman" w:eastAsia="仿宋_GB2312" w:cs="仿宋_GB2312"/>
          <w:sz w:val="32"/>
          <w:szCs w:val="32"/>
        </w:rPr>
        <w:t>所需的新型复合材料，新能源电池、关键零部件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低空航空器检修</w:t>
      </w:r>
      <w:r>
        <w:rPr>
          <w:rFonts w:ascii="Times New Roman" w:hAnsi="Times New Roman" w:eastAsia="仿宋_GB2312" w:cs="仿宋_GB2312"/>
          <w:sz w:val="32"/>
          <w:szCs w:val="32"/>
        </w:rPr>
        <w:t>等重点环节，鼓励我区本土高端装备制造企业和新材料制造企业积极探索</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结合点</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，夯实</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配套链</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材料链</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。支持相关领域的工业项目增资扩产、企业技术改造，提高企业智能化、绿色化发展水平，培育</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专精特新</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中小企业。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（区工信局、各街镇、园区</w:t>
      </w:r>
      <w:r>
        <w:rPr>
          <w:rFonts w:hint="eastAsia" w:ascii="Times New Roman" w:hAnsi="Times New Roman" w:eastAsia="仿宋_GB2312" w:cs="Times New Roman"/>
          <w:color w:val="000000"/>
          <w:sz w:val="32"/>
          <w:szCs w:val="32"/>
        </w:rPr>
        <w:t>按职责分工负责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04B49FF2">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推动产品高端升级。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推进区内金属制品、装备制造、建材、食品等传统行业提升产品和品牌价值，通过产业上下游衔接联动，推动产业链条向高端用户嵌入式延伸，打造产品品牌体系，全面提升企业综合实力，扩大高端产品产业化规模。推动新天钢联合特钢结合汽车、船舶、家电等先进制造业和风电、光伏等新兴产业用钢需求，加快产品结构调整速度，研发生产高端钢材，实现从普钢向特钢加速转型。依托玖龙纸业、玖龙智能包装、旭阳智慧包装、鑫伟业包装、中包（天津）纸品包装等重点企业，持续推进牛卡纸、高强瓦楞纸、全废纸再生牛卡纸、灰底涂布白板纸等高端化纸类和包装产品研发制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（区工信局、各街镇、园区</w:t>
      </w:r>
      <w:r>
        <w:rPr>
          <w:rFonts w:hint="eastAsia" w:ascii="Times New Roman" w:hAnsi="Times New Roman" w:eastAsia="仿宋_GB2312" w:cs="Times New Roman"/>
          <w:color w:val="000000"/>
          <w:sz w:val="32"/>
          <w:szCs w:val="32"/>
        </w:rPr>
        <w:t>按职责分工负责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4F0AF09D">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（二）落实智能制造提升行动</w:t>
      </w:r>
    </w:p>
    <w:p w14:paraId="702A8B6A">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推动实施智改数转。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引导工业企业运用数字化技术和智能化装备改造手段提升生产工艺水平，推动企业开展信息技术服务标准（ITSS）建设、上云上平台应用示范项目建设、两化融合管理体系贯标评定、数据管理能力成熟度评估模型(DCMM）认证、数字化车间和智能工厂建设、</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5G全连接工厂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建设等政策重点扶持方向改造升级。</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（区工信局、各街镇、园区</w:t>
      </w:r>
      <w:r>
        <w:rPr>
          <w:rFonts w:hint="eastAsia" w:ascii="Times New Roman" w:hAnsi="Times New Roman" w:eastAsia="仿宋_GB2312" w:cs="Times New Roman"/>
          <w:color w:val="000000"/>
          <w:sz w:val="32"/>
          <w:szCs w:val="32"/>
        </w:rPr>
        <w:t>按职责分工负责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18730F3A">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加快基础设施建设。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通信基础设施布局，加快工业园区5G基站建设，推动两个重点工业园区5G信号深度覆盖；促进铁塔、电信、移动、联通四家基础电信企业与政府、机关单位及国有企业建立常态化沟通联络，确保工业领域5G建设相关问题100%协调解决；落实宁河区政府与市电信公司、市铁塔公司战略合作协议，以信息资源优势助力工业领域技术改造稳步实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（区工信局、各街镇、园区</w:t>
      </w:r>
      <w:r>
        <w:rPr>
          <w:rFonts w:hint="eastAsia" w:ascii="Times New Roman" w:hAnsi="Times New Roman" w:eastAsia="仿宋_GB2312" w:cs="Times New Roman"/>
          <w:color w:val="000000"/>
          <w:sz w:val="32"/>
          <w:szCs w:val="32"/>
        </w:rPr>
        <w:t>按职责分工负责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6BA7555D">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sz w:val="32"/>
          <w:szCs w:val="32"/>
          <w:lang w:val="en-US" w:eastAsia="zh-CN"/>
        </w:rPr>
        <w:t>（三）落实绿色制造提升行动</w:t>
      </w:r>
    </w:p>
    <w:p w14:paraId="4C44708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000000"/>
          <w:sz w:val="32"/>
          <w:szCs w:val="32"/>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推动实施节能改造。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高度重视本区工业企业绿色、循环发展工作，深挖企业用能潜力，</w:t>
      </w:r>
      <w:r>
        <w:rPr>
          <w:rFonts w:hint="eastAsia" w:ascii="Times New Roman" w:hAnsi="Times New Roman" w:eastAsia="仿宋_GB2312" w:cs="Times New Roman"/>
          <w:color w:val="000000"/>
          <w:sz w:val="32"/>
          <w:szCs w:val="32"/>
        </w:rPr>
        <w:t>实施能效水平提升工程，组织开展重点行业和重要设备能效诊断，查找用能薄弱环节，推动实施用能设备更新和节能技术改造，持续提升能源利用效率。巩固联合特钢环保绩效“创A”工作成果，持续推动重点行业提升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以节能降碳、清洁化生产为目标，有序实施高耗能高碳排放设备、系统节能改造，</w:t>
      </w:r>
      <w:r>
        <w:rPr>
          <w:rFonts w:hint="eastAsia" w:ascii="Times New Roman" w:hAnsi="Times New Roman" w:eastAsia="仿宋_GB2312" w:cs="Times New Roman"/>
          <w:color w:val="000000"/>
          <w:sz w:val="32"/>
          <w:szCs w:val="32"/>
        </w:rPr>
        <w:t>到2027年底，节能降碳技术改造重点项目不少于4个。（</w:t>
      </w:r>
      <w:r>
        <w:rPr>
          <w:rFonts w:hint="default" w:ascii="Times New Roman" w:hAnsi="Times New Roman" w:eastAsia="仿宋_GB2312" w:cs="Times New Roman"/>
          <w:color w:val="000000"/>
          <w:sz w:val="32"/>
          <w:szCs w:val="32"/>
          <w:lang w:val="en"/>
        </w:rPr>
        <w:t>区发改委</w:t>
      </w:r>
      <w:r>
        <w:rPr>
          <w:rFonts w:hint="eastAsia" w:ascii="Times New Roman" w:hAnsi="Times New Roman" w:eastAsia="仿宋_GB2312" w:cs="Times New Roman"/>
          <w:color w:val="000000"/>
          <w:sz w:val="32"/>
          <w:szCs w:val="32"/>
        </w:rPr>
        <w:t>、区生态环境局、</w:t>
      </w:r>
      <w:r>
        <w:rPr>
          <w:rFonts w:hint="default" w:ascii="Times New Roman" w:hAnsi="Times New Roman" w:eastAsia="仿宋_GB2312" w:cs="Times New Roman"/>
          <w:color w:val="000000"/>
          <w:sz w:val="32"/>
          <w:szCs w:val="32"/>
          <w:lang w:val="en"/>
        </w:rPr>
        <w:t>区工信局</w:t>
      </w:r>
      <w:r>
        <w:rPr>
          <w:rFonts w:hint="eastAsia" w:ascii="Times New Roman" w:hAnsi="Times New Roman" w:eastAsia="仿宋_GB2312" w:cs="Times New Roman"/>
          <w:color w:val="000000"/>
          <w:sz w:val="32"/>
          <w:szCs w:val="32"/>
          <w:lang w:val="en"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各街镇、园区</w:t>
      </w:r>
      <w:r>
        <w:rPr>
          <w:rFonts w:hint="eastAsia" w:ascii="Times New Roman" w:hAnsi="Times New Roman" w:eastAsia="仿宋_GB2312" w:cs="Times New Roman"/>
          <w:color w:val="000000"/>
          <w:sz w:val="32"/>
          <w:szCs w:val="32"/>
        </w:rPr>
        <w:t>按职责分工负责）</w:t>
      </w:r>
    </w:p>
    <w:p w14:paraId="65F5DF0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推广应用绿色装备。</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对照《重点用能产品设备能效先进水平、节能水平和准入水平（2024年版）》，推动重点用能设备能效升级，以能效水平提升为重点，推动工业领域锅炉、电机、变压器、制冷供热空压机、换热器、泵等重点用能设备更新换代</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推广应用能效二级及以上节能设备。面向石化化工、钢铁、建材、造纸、食品等已出台取（用）水定额国家标准的行业，推进工业节水和废水循环利用，改造工业冷却循环和废水处理回用等系统，更新一批冷却塔等设备。</w:t>
      </w:r>
      <w:r>
        <w:rPr>
          <w:rFonts w:hint="eastAsia"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
        </w:rPr>
        <w:t>区工信局</w:t>
      </w:r>
      <w:r>
        <w:rPr>
          <w:rFonts w:hint="eastAsia"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
        </w:rPr>
        <w:t>区发改委</w:t>
      </w:r>
      <w:r>
        <w:rPr>
          <w:rFonts w:hint="eastAsia" w:ascii="Times New Roman" w:hAnsi="Times New Roman" w:eastAsia="仿宋_GB2312" w:cs="Times New Roman"/>
          <w:color w:val="000000"/>
          <w:sz w:val="32"/>
          <w:szCs w:val="32"/>
          <w:highlight w:val="none"/>
          <w:lang w:val="en"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各街镇、园区</w:t>
      </w:r>
      <w:r>
        <w:rPr>
          <w:rFonts w:hint="eastAsia" w:ascii="Times New Roman" w:hAnsi="Times New Roman" w:eastAsia="仿宋_GB2312" w:cs="Times New Roman"/>
          <w:color w:val="000000"/>
          <w:sz w:val="32"/>
          <w:szCs w:val="32"/>
          <w:highlight w:val="none"/>
        </w:rPr>
        <w:t>按职责分工负责）</w:t>
      </w:r>
    </w:p>
    <w:p w14:paraId="1643E4C4">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（四）落实服务型制造和网络化协同化改造提升行动</w:t>
      </w:r>
    </w:p>
    <w:p w14:paraId="134B2B46">
      <w:pPr>
        <w:pStyle w:val="10"/>
        <w:keepNext w:val="0"/>
        <w:keepLines w:val="0"/>
        <w:pageBreakBefore w:val="0"/>
        <w:numPr>
          <w:ilvl w:val="0"/>
          <w:numId w:val="0"/>
        </w:numPr>
        <w:kinsoku/>
        <w:overflowPunct/>
        <w:topLinePunct w:val="0"/>
        <w:autoSpaceDE/>
        <w:autoSpaceDN/>
        <w:bidi w:val="0"/>
        <w:spacing w:line="560" w:lineRule="exact"/>
        <w:ind w:firstLine="643" w:firstLineChars="200"/>
        <w:jc w:val="both"/>
        <w:textAlignment w:val="auto"/>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发展服务型制造。</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推动</w:t>
      </w:r>
      <w:r>
        <w:rPr>
          <w:rFonts w:hint="default" w:ascii="Nimbus Roman No9 L" w:hAnsi="Nimbus Roman No9 L" w:eastAsia="仿宋_GB2312" w:cs="Nimbus Roman No9 L"/>
          <w:i w:val="0"/>
          <w:iCs w:val="0"/>
          <w:caps w:val="0"/>
          <w:color w:val="auto"/>
          <w:spacing w:val="0"/>
          <w:sz w:val="32"/>
          <w:szCs w:val="32"/>
          <w:highlight w:val="none"/>
          <w:shd w:val="clear" w:color="auto" w:fill="FFFFFF"/>
          <w:lang w:val="en-US" w:eastAsia="zh-CN"/>
        </w:rPr>
        <w:t>我区</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规上重点企</w:t>
      </w:r>
      <w:r>
        <w:rPr>
          <w:rFonts w:hint="default" w:ascii="Nimbus Roman No9 L" w:hAnsi="Nimbus Roman No9 L" w:eastAsia="仿宋_GB2312" w:cs="Nimbus Roman No9 L"/>
          <w:i w:val="0"/>
          <w:iCs w:val="0"/>
          <w:caps w:val="0"/>
          <w:color w:val="auto"/>
          <w:spacing w:val="0"/>
          <w:sz w:val="32"/>
          <w:szCs w:val="32"/>
          <w:highlight w:val="none"/>
          <w:shd w:val="clear" w:color="auto" w:fill="FFFFFF"/>
          <w:lang w:val="en-US" w:eastAsia="zh-CN"/>
        </w:rPr>
        <w:t>业</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由生产型制造向服务型制造加速转变</w:t>
      </w:r>
      <w:r>
        <w:rPr>
          <w:rFonts w:hint="default" w:ascii="Nimbus Roman No9 L" w:hAnsi="Nimbus Roman No9 L" w:eastAsia="仿宋_GB2312" w:cs="Nimbus Roman No9 L"/>
          <w:i w:val="0"/>
          <w:iCs w:val="0"/>
          <w:caps w:val="0"/>
          <w:color w:val="auto"/>
          <w:spacing w:val="0"/>
          <w:sz w:val="32"/>
          <w:szCs w:val="32"/>
          <w:highlight w:val="none"/>
          <w:shd w:val="clear" w:color="auto" w:fill="FFFFFF"/>
          <w:lang w:val="en-US" w:eastAsia="zh-CN"/>
        </w:rPr>
        <w:t>，</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以客户需求为导向，提供个性化、定制化服务，培育推广工业设计服务、共享制造、全生命周期管理、总集成总承包等新模式、新业态。加快推进零件标准化、部件模块化和产品个性化，实施生产制造关键环节柔性化改造。</w:t>
      </w:r>
      <w:r>
        <w:rPr>
          <w:rFonts w:hint="eastAsia" w:eastAsia="仿宋_GB2312" w:cs="仿宋_GB2312"/>
          <w:szCs w:val="32"/>
          <w:highlight w:val="none"/>
        </w:rPr>
        <w:t>建设新能源智慧化交通设施、智能化物流装备和仓储设施，</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推动仓储物流服务数字化、智能化、精准化发展，增强重大技术装备、新材料等领域检验检测服务能力，实现供应链标准化、智能化、协同化发展。（区工信局、区发改委、区交通局、区商务局、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各街镇、园区</w:t>
      </w:r>
      <w:r>
        <w:rPr>
          <w:rFonts w:hint="eastAsia" w:ascii="Times New Roman" w:hAnsi="Times New Roman" w:eastAsia="仿宋_GB2312" w:cs="Times New Roman"/>
          <w:color w:val="000000"/>
          <w:sz w:val="32"/>
          <w:szCs w:val="32"/>
          <w:highlight w:val="none"/>
        </w:rPr>
        <w:t>按职责分工负责</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w:t>
      </w:r>
    </w:p>
    <w:p w14:paraId="111D3EE8">
      <w:pPr>
        <w:pStyle w:val="10"/>
        <w:keepNext w:val="0"/>
        <w:keepLines w:val="0"/>
        <w:pageBreakBefore w:val="0"/>
        <w:numPr>
          <w:ilvl w:val="0"/>
          <w:numId w:val="0"/>
        </w:numPr>
        <w:kinsoku/>
        <w:overflowPunct/>
        <w:topLinePunct w:val="0"/>
        <w:autoSpaceDE/>
        <w:autoSpaceDN/>
        <w:bidi w:val="0"/>
        <w:spacing w:line="560" w:lineRule="exact"/>
        <w:ind w:firstLine="643" w:firstLineChars="200"/>
        <w:jc w:val="both"/>
        <w:textAlignment w:val="auto"/>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加强网络化协同化改造。</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鼓励区内各行业重点龙头企业联合软件企业，协同研发企业乃至行业专用软件产品。支持发展互联网服务新模式、新业态，深入推进工业互联网创新发展，围绕本区重点产业链需求，打造具有跨行业、跨领域能力的工业互联网平台，推动各类生产设备与信息系统广泛互联互通。依托曙光云计算中心、两大运营商即将布局的算力中心等载体，加快智算中心布局，推动大有算力中心落地建设。支持企业在生产现场按需部署边缘计算节点，与企业级工业互联网平台互联，促进云网边端协同。</w:t>
      </w:r>
      <w:r>
        <w:rPr>
          <w:rFonts w:hint="eastAsia" w:eastAsia="仿宋_GB2312" w:cs="仿宋_GB2312"/>
          <w:szCs w:val="32"/>
        </w:rPr>
        <w:t>支持企业开展“5G</w:t>
      </w:r>
      <w:r>
        <w:rPr>
          <w:rFonts w:hint="eastAsia" w:ascii="仿宋_GB2312" w:hAnsi="仿宋_GB2312" w:eastAsia="仿宋_GB2312" w:cs="仿宋_GB2312"/>
          <w:szCs w:val="32"/>
        </w:rPr>
        <w:t>+工业</w:t>
      </w:r>
      <w:r>
        <w:rPr>
          <w:rFonts w:hint="eastAsia" w:eastAsia="仿宋_GB2312" w:cs="仿宋_GB2312"/>
          <w:szCs w:val="32"/>
        </w:rPr>
        <w:t>互联网”建设，推动企业“上云用网赋能”，实现研发设计、生产过程、运营管理等网络化、协同化。</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（区工信局、区发改委、区科技局、各街镇、园区</w:t>
      </w:r>
      <w:r>
        <w:rPr>
          <w:rFonts w:hint="eastAsia" w:ascii="Times New Roman" w:hAnsi="Times New Roman" w:eastAsia="仿宋_GB2312" w:cs="Times New Roman"/>
          <w:color w:val="000000"/>
          <w:sz w:val="32"/>
          <w:szCs w:val="32"/>
          <w:highlight w:val="none"/>
        </w:rPr>
        <w:t>按职责分工负责</w:t>
      </w:r>
      <w:r>
        <w:rPr>
          <w:rFonts w:hint="eastAsia" w:ascii="Times New Roman" w:hAnsi="Times New Roman" w:eastAsia="仿宋_GB2312" w:cs="Times New Roman"/>
          <w:color w:val="000000"/>
          <w:sz w:val="32"/>
          <w:szCs w:val="32"/>
          <w:highlight w:val="none"/>
          <w:lang w:eastAsia="zh-CN"/>
        </w:rPr>
        <w:t>）</w:t>
      </w:r>
    </w:p>
    <w:p w14:paraId="5903958F">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sz w:val="32"/>
          <w:szCs w:val="32"/>
          <w:highlight w:val="none"/>
          <w:lang w:val="en-US" w:eastAsia="zh-CN"/>
        </w:rPr>
        <w:t>（五）落实技术改造支撑行动</w:t>
      </w:r>
    </w:p>
    <w:p w14:paraId="1563E929">
      <w:pPr>
        <w:pStyle w:val="10"/>
        <w:keepNext w:val="0"/>
        <w:keepLines w:val="0"/>
        <w:pageBreakBefore w:val="0"/>
        <w:numPr>
          <w:ilvl w:val="0"/>
          <w:numId w:val="0"/>
        </w:numPr>
        <w:kinsoku/>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开展技改诊断服务。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推动落实《市工业和信息化局 市财政局关于组织开展工业企业设备更新和技术改造诊断服务工作的通知》要求，建立工业设备更新技术改造诊断服务工作机制，建立区内规上企业技术改造项目库、诊断需求企业库、诊断服务专家库，2024年完成25家企业技术改造诊断服务工作，“一企一策”制定诊断报告，提出技术改造方案，超前谋划实施重点项目，通过诊断服务挖需求、谋项目、解难题、促投资，提升企业核心竞争力。</w:t>
      </w:r>
      <w:r>
        <w:rPr>
          <w:rFonts w:hint="eastAsia" w:ascii="Nimbus Roman No9 L" w:hAnsi="Nimbus Roman No9 L" w:eastAsia="仿宋_GB2312" w:cs="Nimbus Roman No9 L"/>
          <w:i w:val="0"/>
          <w:iCs w:val="0"/>
          <w:caps w:val="0"/>
          <w:color w:val="auto"/>
          <w:spacing w:val="0"/>
          <w:sz w:val="32"/>
          <w:szCs w:val="32"/>
          <w:highlight w:val="none"/>
          <w:shd w:val="clear" w:color="auto" w:fill="FFFFFF"/>
          <w:lang w:val="en-US" w:eastAsia="zh-CN"/>
        </w:rPr>
        <w:t>（区工信局、各街镇、园区</w:t>
      </w:r>
      <w:r>
        <w:rPr>
          <w:rFonts w:hint="eastAsia" w:ascii="Times New Roman" w:hAnsi="Times New Roman" w:eastAsia="仿宋_GB2312" w:cs="Times New Roman"/>
          <w:color w:val="000000"/>
          <w:sz w:val="32"/>
          <w:szCs w:val="32"/>
          <w:highlight w:val="none"/>
        </w:rPr>
        <w:t>按职责分工负责</w:t>
      </w:r>
      <w:r>
        <w:rPr>
          <w:rFonts w:hint="eastAsia" w:ascii="Times New Roman" w:hAnsi="Times New Roman" w:eastAsia="仿宋_GB2312" w:cs="Times New Roman"/>
          <w:color w:val="000000"/>
          <w:sz w:val="32"/>
          <w:szCs w:val="32"/>
          <w:highlight w:val="none"/>
          <w:lang w:eastAsia="zh-CN"/>
        </w:rPr>
        <w:t>）</w:t>
      </w:r>
    </w:p>
    <w:p w14:paraId="6D96C1E2">
      <w:pPr>
        <w:pStyle w:val="10"/>
        <w:keepNext w:val="0"/>
        <w:keepLines w:val="0"/>
        <w:pageBreakBefore w:val="0"/>
        <w:kinsoku/>
        <w:overflowPunct/>
        <w:topLinePunct w:val="0"/>
        <w:autoSpaceDE/>
        <w:autoSpaceDN/>
        <w:bidi w:val="0"/>
        <w:spacing w:line="560" w:lineRule="exact"/>
        <w:ind w:left="0" w:leftChars="0" w:firstLine="643"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强化科技创新支撑。</w:t>
      </w:r>
      <w:r>
        <w:rPr>
          <w:rFonts w:hint="eastAsia" w:ascii="Times New Roman" w:hAnsi="Times New Roman" w:eastAsia="仿宋_GB2312" w:cs="Times New Roman"/>
          <w:color w:val="000000"/>
          <w:sz w:val="32"/>
          <w:szCs w:val="32"/>
          <w:highlight w:val="none"/>
        </w:rPr>
        <w:t>聚焦长期困扰传统产业转型升级的产业基础、重大技术装备“卡脖子”难题，引导企业积极与科研院所、高校等开展重大技术攻关。</w:t>
      </w:r>
      <w:r>
        <w:rPr>
          <w:rFonts w:hint="eastAsia" w:ascii="Times New Roman" w:hAnsi="Times New Roman" w:eastAsia="仿宋_GB2312" w:cs="Times New Roman"/>
          <w:color w:val="000000"/>
          <w:sz w:val="32"/>
          <w:szCs w:val="32"/>
          <w:highlight w:val="none"/>
          <w:lang w:eastAsia="zh-CN"/>
        </w:rPr>
        <w:t>支持天津新天钢联合特钢有限公司完成市级重点实验室软硬件设备布局，做好各项筹建工作</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支持天津昌昊实业有限公司通过与天津大学合作开展科技领军企业重大创新项目，做好</w:t>
      </w:r>
      <w:r>
        <w:rPr>
          <w:rFonts w:hint="eastAsia" w:ascii="Times New Roman" w:hAnsi="Times New Roman" w:eastAsia="仿宋_GB2312" w:cs="Times New Roman"/>
          <w:color w:val="000000"/>
          <w:sz w:val="32"/>
          <w:szCs w:val="32"/>
          <w:highlight w:val="none"/>
        </w:rPr>
        <w:t>关键核心攻关。</w:t>
      </w:r>
      <w:r>
        <w:rPr>
          <w:rFonts w:hint="eastAsia" w:ascii="Times New Roman" w:hAnsi="Times New Roman" w:eastAsia="仿宋_GB2312" w:cs="Times New Roman"/>
          <w:color w:val="000000"/>
          <w:sz w:val="32"/>
          <w:szCs w:val="32"/>
          <w:highlight w:val="none"/>
          <w:lang w:eastAsia="zh-CN"/>
        </w:rPr>
        <w:t>积极梳理科技型企业产学研合作需求清单，</w:t>
      </w:r>
      <w:r>
        <w:rPr>
          <w:rFonts w:hint="eastAsia" w:ascii="Times New Roman" w:hAnsi="Times New Roman" w:eastAsia="仿宋_GB2312" w:cs="Times New Roman"/>
          <w:color w:val="000000"/>
          <w:sz w:val="32"/>
          <w:szCs w:val="32"/>
          <w:highlight w:val="none"/>
          <w:lang w:val="en-US" w:eastAsia="zh-CN"/>
        </w:rPr>
        <w:t>每</w:t>
      </w:r>
      <w:r>
        <w:rPr>
          <w:rFonts w:hint="eastAsia" w:ascii="Times New Roman" w:hAnsi="Times New Roman" w:eastAsia="仿宋_GB2312" w:cs="Times New Roman"/>
          <w:color w:val="000000"/>
          <w:sz w:val="32"/>
          <w:szCs w:val="32"/>
          <w:highlight w:val="none"/>
          <w:lang w:eastAsia="zh-CN"/>
        </w:rPr>
        <w:t>年开展</w:t>
      </w:r>
      <w:r>
        <w:rPr>
          <w:rFonts w:hint="eastAsia" w:ascii="Times New Roman" w:hAnsi="Times New Roman" w:eastAsia="仿宋_GB2312" w:cs="Times New Roman"/>
          <w:color w:val="000000"/>
          <w:sz w:val="32"/>
          <w:szCs w:val="32"/>
          <w:highlight w:val="none"/>
          <w:lang w:val="en-US" w:eastAsia="zh-CN"/>
        </w:rPr>
        <w:t>高校院所</w:t>
      </w:r>
      <w:r>
        <w:rPr>
          <w:rFonts w:hint="eastAsia" w:ascii="Times New Roman" w:hAnsi="Times New Roman" w:eastAsia="仿宋_GB2312" w:cs="Times New Roman"/>
          <w:color w:val="000000"/>
          <w:sz w:val="32"/>
          <w:szCs w:val="32"/>
          <w:highlight w:val="none"/>
          <w:lang w:eastAsia="zh-CN"/>
        </w:rPr>
        <w:t>对接会不少于</w:t>
      </w:r>
      <w:r>
        <w:rPr>
          <w:rFonts w:hint="eastAsia" w:ascii="Times New Roman" w:hAnsi="Times New Roman" w:eastAsia="仿宋_GB2312" w:cs="Times New Roman"/>
          <w:color w:val="000000"/>
          <w:sz w:val="32"/>
          <w:szCs w:val="32"/>
          <w:highlight w:val="none"/>
          <w:lang w:val="en-US" w:eastAsia="zh-CN"/>
        </w:rPr>
        <w:t>3场。每年</w:t>
      </w:r>
      <w:r>
        <w:rPr>
          <w:rFonts w:hint="eastAsia" w:ascii="Times New Roman" w:hAnsi="Times New Roman" w:eastAsia="仿宋_GB2312" w:cs="Times New Roman"/>
          <w:color w:val="000000"/>
          <w:sz w:val="32"/>
          <w:szCs w:val="32"/>
          <w:highlight w:val="none"/>
        </w:rPr>
        <w:t>面向生物医药、新能源新材料、农业育</w:t>
      </w:r>
      <w:bookmarkStart w:id="1" w:name="_GoBack"/>
      <w:bookmarkEnd w:id="1"/>
      <w:r>
        <w:rPr>
          <w:rFonts w:hint="eastAsia" w:ascii="Times New Roman" w:hAnsi="Times New Roman" w:eastAsia="仿宋_GB2312" w:cs="Times New Roman"/>
          <w:color w:val="000000"/>
          <w:sz w:val="32"/>
          <w:szCs w:val="32"/>
          <w:highlight w:val="none"/>
        </w:rPr>
        <w:t>种等领域征集科技计划项目不少于10项</w:t>
      </w:r>
      <w:r>
        <w:rPr>
          <w:rFonts w:hint="eastAsia" w:ascii="Times New Roman" w:hAnsi="Times New Roman" w:eastAsia="仿宋_GB2312" w:cs="Times New Roman"/>
          <w:color w:val="000000"/>
          <w:sz w:val="32"/>
          <w:szCs w:val="32"/>
          <w:highlight w:val="none"/>
          <w:lang w:eastAsia="zh-CN"/>
        </w:rPr>
        <w:t>。（区科技局、区工信局、区发改委、</w:t>
      </w:r>
      <w:r>
        <w:rPr>
          <w:rFonts w:hint="eastAsia" w:ascii="Times New Roman" w:hAnsi="Times New Roman" w:eastAsia="仿宋_GB2312" w:cs="Times New Roman"/>
          <w:color w:val="000000"/>
          <w:sz w:val="32"/>
          <w:szCs w:val="32"/>
          <w:highlight w:val="none"/>
          <w:lang w:val="en-US" w:eastAsia="zh-CN"/>
        </w:rPr>
        <w:t>经济开发区、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各街镇、园区</w:t>
      </w:r>
      <w:r>
        <w:rPr>
          <w:rFonts w:hint="eastAsia" w:ascii="Times New Roman" w:hAnsi="Times New Roman" w:eastAsia="仿宋_GB2312" w:cs="Times New Roman"/>
          <w:color w:val="000000"/>
          <w:sz w:val="32"/>
          <w:szCs w:val="32"/>
          <w:highlight w:val="none"/>
        </w:rPr>
        <w:t>按职责分工负责</w:t>
      </w:r>
      <w:r>
        <w:rPr>
          <w:rFonts w:hint="eastAsia" w:ascii="Times New Roman" w:hAnsi="Times New Roman" w:eastAsia="仿宋_GB2312" w:cs="Times New Roman"/>
          <w:color w:val="000000"/>
          <w:sz w:val="32"/>
          <w:szCs w:val="32"/>
          <w:highlight w:val="none"/>
          <w:lang w:eastAsia="zh-CN"/>
        </w:rPr>
        <w:t>）</w:t>
      </w:r>
    </w:p>
    <w:p w14:paraId="6C244381">
      <w:pPr>
        <w:pStyle w:val="10"/>
        <w:keepNext w:val="0"/>
        <w:keepLines w:val="0"/>
        <w:pageBreakBefore w:val="0"/>
        <w:kinsoku/>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强化技术人才支撑。</w:t>
      </w:r>
      <w:r>
        <w:rPr>
          <w:rFonts w:hint="eastAsia" w:ascii="Times New Roman" w:hAnsi="Times New Roman" w:eastAsia="仿宋_GB2312" w:cs="Times New Roman"/>
          <w:color w:val="000000"/>
          <w:sz w:val="32"/>
          <w:szCs w:val="32"/>
          <w:highlight w:val="none"/>
          <w:lang w:val="en-US" w:eastAsia="zh-CN"/>
        </w:rPr>
        <w:t>按照升学与就业并重的办学定位，注重学生基础知识和技能，全面壮大办学规模，以“职教高考”为核心的多元办学新格局，注重为高等职业教育输送合格的生源，为学生提供升学、就业、职普融通等多种发展路径。严格执行我区出台的人才培养、奖励政策，做好人才补贴申请审核发放工作，确保审核工作的规范性和有效性。加强补贴政策的宣传，做好人才留宁服务保障工作。深入推进政、企、校三方合作机制，加强企业与人才双向交流机制。每年参加、举办校园招聘会10场以上。认真贯彻执行“海河英才”行动计划，每年完成年度目标引入300人。</w:t>
      </w:r>
      <w:r>
        <w:rPr>
          <w:rFonts w:hint="eastAsia" w:ascii="Times New Roman" w:hAnsi="Times New Roman" w:eastAsia="仿宋_GB2312" w:cs="Times New Roman"/>
          <w:color w:val="000000"/>
          <w:kern w:val="2"/>
          <w:sz w:val="32"/>
          <w:szCs w:val="32"/>
          <w:highlight w:val="none"/>
          <w:lang w:val="en-US" w:eastAsia="zh-CN" w:bidi="ar-SA"/>
        </w:rPr>
        <w:t>（区教育局、区人社局</w:t>
      </w:r>
      <w:r>
        <w:rPr>
          <w:rFonts w:hint="eastAsia" w:ascii="Times New Roman" w:hAnsi="Times New Roman" w:eastAsia="仿宋_GB2312" w:cs="Times New Roman"/>
          <w:color w:val="000000"/>
          <w:sz w:val="32"/>
          <w:szCs w:val="32"/>
          <w:highlight w:val="none"/>
        </w:rPr>
        <w:t>按职责分工负责</w:t>
      </w:r>
      <w:r>
        <w:rPr>
          <w:rFonts w:hint="eastAsia" w:ascii="Times New Roman" w:hAnsi="Times New Roman" w:eastAsia="仿宋_GB2312" w:cs="Times New Roman"/>
          <w:color w:val="000000"/>
          <w:kern w:val="2"/>
          <w:sz w:val="32"/>
          <w:szCs w:val="32"/>
          <w:highlight w:val="none"/>
          <w:lang w:val="en-US" w:eastAsia="zh-CN" w:bidi="ar-SA"/>
        </w:rPr>
        <w:t>）</w:t>
      </w:r>
    </w:p>
    <w:p w14:paraId="20B845E1">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四、组织保障</w:t>
      </w:r>
    </w:p>
    <w:p w14:paraId="76781E9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sz w:val="32"/>
          <w:szCs w:val="32"/>
          <w:highlight w:val="none"/>
          <w:lang w:val="en-US" w:eastAsia="zh-CN"/>
        </w:rPr>
      </w:pPr>
      <w:r>
        <w:rPr>
          <w:rFonts w:hint="eastAsia" w:ascii="楷体" w:hAnsi="楷体" w:eastAsia="楷体" w:cs="楷体"/>
          <w:color w:val="000000"/>
          <w:kern w:val="2"/>
          <w:sz w:val="32"/>
          <w:szCs w:val="32"/>
          <w:highlight w:val="none"/>
          <w:lang w:val="en-US" w:eastAsia="zh-CN" w:bidi="ar-SA"/>
        </w:rPr>
        <w:t>（一）强化项目管理。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立由工信、统计等部门组成的全区工业投资和技术改造项目调查机制，依法依规全面系统组织工业企业梳理500万元以上投资项目，完善工业投资和技术改造项目库，实时动态跟踪项目进度。建立由工信、发改、规划资源、生态环保、住房建设、政务服务、统计等部门组成的工业技术改造协调工作机制，各有关部门设置技术改造专门负责人员，市区有关部门强化协同联动，加强准入、审批、建设、验收、纳统等环节统筹，强化项目全生命周期服务。（区工信局、区统计局、区发改委、规划资源宁河分局、区生态环境局、区住建委、区政务服务办、区统计局</w:t>
      </w:r>
      <w:r>
        <w:rPr>
          <w:rFonts w:hint="eastAsia" w:ascii="Times New Roman" w:hAnsi="Times New Roman" w:eastAsia="仿宋_GB2312" w:cs="Times New Roman"/>
          <w:color w:val="000000"/>
          <w:sz w:val="32"/>
          <w:szCs w:val="32"/>
          <w:highlight w:val="none"/>
        </w:rPr>
        <w:t>按职责分工负责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5DC2FF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sz w:val="32"/>
          <w:szCs w:val="32"/>
          <w:highlight w:val="none"/>
        </w:rPr>
      </w:pPr>
      <w:r>
        <w:rPr>
          <w:rFonts w:hint="eastAsia" w:ascii="楷体" w:hAnsi="楷体" w:eastAsia="楷体" w:cs="楷体"/>
          <w:color w:val="000000"/>
          <w:kern w:val="2"/>
          <w:sz w:val="32"/>
          <w:szCs w:val="32"/>
          <w:highlight w:val="none"/>
          <w:lang w:val="en-US" w:eastAsia="zh-CN" w:bidi="ar-SA"/>
        </w:rPr>
        <w:t>（二）加强要素保障。</w:t>
      </w:r>
      <w:r>
        <w:rPr>
          <w:rFonts w:hint="eastAsia" w:ascii="Times New Roman" w:hAnsi="Times New Roman" w:eastAsia="仿宋_GB2312" w:cs="Times New Roman"/>
          <w:color w:val="000000"/>
          <w:sz w:val="32"/>
          <w:szCs w:val="32"/>
          <w:highlight w:val="none"/>
        </w:rPr>
        <w:t>加强企业技术改造项目规划、用地、用房、用能、用水等要素保障，将技术改造项目涉及用地、用能等纳入优先保障范围，对不新增土地、以设备更新为主的技术改造项目，推广承诺备案制，简化前期审批手续。强化标准厂房供给，缩短供地供房时间，避免“项目等地”。提高水电气热等配套供应效率，保障技术改造项目建设。（</w:t>
      </w:r>
      <w:r>
        <w:rPr>
          <w:rFonts w:hint="eastAsia" w:ascii="Times New Roman" w:hAnsi="Times New Roman" w:eastAsia="仿宋_GB2312" w:cs="Times New Roman"/>
          <w:color w:val="000000"/>
          <w:sz w:val="32"/>
          <w:szCs w:val="32"/>
          <w:highlight w:val="none"/>
          <w:lang w:val="en-US" w:eastAsia="zh-CN"/>
        </w:rPr>
        <w:t>区</w:t>
      </w:r>
      <w:r>
        <w:rPr>
          <w:rFonts w:hint="eastAsia" w:ascii="Times New Roman" w:hAnsi="Times New Roman" w:eastAsia="仿宋_GB2312" w:cs="Times New Roman"/>
          <w:color w:val="000000"/>
          <w:sz w:val="32"/>
          <w:szCs w:val="32"/>
          <w:highlight w:val="none"/>
        </w:rPr>
        <w:t>政务服务办</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规划资源宁河分局、</w:t>
      </w:r>
      <w:r>
        <w:rPr>
          <w:rFonts w:hint="eastAsia" w:ascii="Times New Roman" w:hAnsi="Times New Roman" w:eastAsia="仿宋_GB2312" w:cs="Times New Roman"/>
          <w:color w:val="000000"/>
          <w:sz w:val="32"/>
          <w:szCs w:val="32"/>
          <w:highlight w:val="none"/>
          <w:lang w:val="en-US" w:eastAsia="zh-CN"/>
        </w:rPr>
        <w:t>区</w:t>
      </w:r>
      <w:r>
        <w:rPr>
          <w:rFonts w:hint="eastAsia" w:ascii="Times New Roman" w:hAnsi="Times New Roman" w:eastAsia="仿宋_GB2312" w:cs="Times New Roman"/>
          <w:color w:val="000000"/>
          <w:sz w:val="32"/>
          <w:szCs w:val="32"/>
          <w:highlight w:val="none"/>
          <w:lang w:eastAsia="zh-CN"/>
        </w:rPr>
        <w:t>住建委、</w:t>
      </w:r>
      <w:r>
        <w:rPr>
          <w:rFonts w:hint="eastAsia" w:ascii="Times New Roman" w:hAnsi="Times New Roman" w:eastAsia="仿宋_GB2312" w:cs="Times New Roman"/>
          <w:color w:val="000000"/>
          <w:sz w:val="32"/>
          <w:szCs w:val="32"/>
          <w:highlight w:val="none"/>
          <w:lang w:val="en-US" w:eastAsia="zh-CN"/>
        </w:rPr>
        <w:t>区</w:t>
      </w:r>
      <w:r>
        <w:rPr>
          <w:rFonts w:hint="eastAsia" w:ascii="Times New Roman" w:hAnsi="Times New Roman" w:eastAsia="仿宋_GB2312" w:cs="Times New Roman"/>
          <w:color w:val="000000"/>
          <w:sz w:val="32"/>
          <w:szCs w:val="32"/>
          <w:highlight w:val="none"/>
          <w:lang w:eastAsia="zh-CN"/>
        </w:rPr>
        <w:t>发改委、</w:t>
      </w:r>
      <w:r>
        <w:rPr>
          <w:rFonts w:hint="eastAsia" w:ascii="Times New Roman" w:hAnsi="Times New Roman" w:eastAsia="仿宋_GB2312" w:cs="Times New Roman"/>
          <w:color w:val="000000"/>
          <w:sz w:val="32"/>
          <w:szCs w:val="32"/>
          <w:highlight w:val="none"/>
          <w:lang w:val="en-US" w:eastAsia="zh-CN"/>
        </w:rPr>
        <w:t>区</w:t>
      </w:r>
      <w:r>
        <w:rPr>
          <w:rFonts w:hint="eastAsia" w:ascii="Times New Roman" w:hAnsi="Times New Roman" w:eastAsia="仿宋_GB2312" w:cs="Times New Roman"/>
          <w:color w:val="000000"/>
          <w:sz w:val="32"/>
          <w:szCs w:val="32"/>
          <w:highlight w:val="none"/>
          <w:lang w:eastAsia="zh-CN"/>
        </w:rPr>
        <w:t>城管委、</w:t>
      </w:r>
      <w:r>
        <w:rPr>
          <w:rFonts w:hint="eastAsia" w:ascii="Times New Roman" w:hAnsi="Times New Roman" w:eastAsia="仿宋_GB2312" w:cs="Times New Roman"/>
          <w:color w:val="000000"/>
          <w:sz w:val="32"/>
          <w:szCs w:val="32"/>
          <w:highlight w:val="none"/>
          <w:lang w:val="en-US" w:eastAsia="zh-CN"/>
        </w:rPr>
        <w:t>区</w:t>
      </w:r>
      <w:r>
        <w:rPr>
          <w:rFonts w:hint="eastAsia" w:ascii="Times New Roman" w:hAnsi="Times New Roman" w:eastAsia="仿宋_GB2312" w:cs="Times New Roman"/>
          <w:color w:val="000000"/>
          <w:sz w:val="32"/>
          <w:szCs w:val="32"/>
          <w:highlight w:val="none"/>
          <w:lang w:eastAsia="zh-CN"/>
        </w:rPr>
        <w:t>水务局、</w:t>
      </w:r>
      <w:r>
        <w:rPr>
          <w:rFonts w:hint="eastAsia" w:ascii="Times New Roman" w:hAnsi="Times New Roman" w:eastAsia="仿宋_GB2312" w:cs="Times New Roman"/>
          <w:color w:val="000000"/>
          <w:sz w:val="32"/>
          <w:szCs w:val="32"/>
          <w:highlight w:val="none"/>
          <w:lang w:val="en-US" w:eastAsia="zh-CN"/>
        </w:rPr>
        <w:t>区</w:t>
      </w:r>
      <w:r>
        <w:rPr>
          <w:rFonts w:hint="eastAsia" w:ascii="Times New Roman" w:hAnsi="Times New Roman" w:eastAsia="仿宋_GB2312" w:cs="Times New Roman"/>
          <w:color w:val="000000"/>
          <w:sz w:val="32"/>
          <w:szCs w:val="32"/>
          <w:highlight w:val="none"/>
          <w:lang w:eastAsia="zh-CN"/>
        </w:rPr>
        <w:t>工信局、各街镇、园区</w:t>
      </w:r>
      <w:r>
        <w:rPr>
          <w:rFonts w:hint="eastAsia" w:ascii="Times New Roman" w:hAnsi="Times New Roman" w:eastAsia="仿宋_GB2312" w:cs="Times New Roman"/>
          <w:color w:val="000000"/>
          <w:sz w:val="32"/>
          <w:szCs w:val="32"/>
          <w:highlight w:val="none"/>
        </w:rPr>
        <w:t>等部门按职责分工负责）</w:t>
      </w:r>
    </w:p>
    <w:p w14:paraId="205982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楷体" w:hAnsi="楷体" w:eastAsia="楷体" w:cs="楷体"/>
          <w:color w:val="000000"/>
          <w:kern w:val="2"/>
          <w:sz w:val="32"/>
          <w:szCs w:val="32"/>
          <w:highlight w:val="none"/>
          <w:lang w:val="en-US" w:eastAsia="zh-CN" w:bidi="ar-SA"/>
        </w:rPr>
        <w:t>（三）争取金融支持。</w:t>
      </w:r>
      <w:r>
        <w:rPr>
          <w:rFonts w:hint="eastAsia" w:ascii="Times New Roman" w:hAnsi="Times New Roman" w:eastAsia="仿宋_GB2312" w:cs="Times New Roman"/>
          <w:color w:val="000000"/>
          <w:sz w:val="32"/>
          <w:szCs w:val="32"/>
          <w:highlight w:val="none"/>
        </w:rPr>
        <w:t>充分争取中央预算内投资、超长期特别国债</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设备更新和技术改造再贷款、制造业高质量发展资金等政策</w:t>
      </w:r>
      <w:r>
        <w:rPr>
          <w:rFonts w:hint="eastAsia" w:ascii="Times New Roman" w:hAnsi="Times New Roman" w:eastAsia="仿宋_GB2312" w:cs="Times New Roman"/>
          <w:color w:val="000000"/>
          <w:sz w:val="32"/>
          <w:szCs w:val="32"/>
          <w:highlight w:val="none"/>
        </w:rPr>
        <w:t>支持</w:t>
      </w:r>
      <w:r>
        <w:rPr>
          <w:rFonts w:hint="eastAsia" w:ascii="Times New Roman" w:hAnsi="Times New Roman" w:eastAsia="仿宋_GB2312" w:cs="Times New Roman"/>
          <w:color w:val="000000"/>
          <w:sz w:val="32"/>
          <w:szCs w:val="32"/>
          <w:highlight w:val="none"/>
          <w:lang w:eastAsia="zh-CN"/>
        </w:rPr>
        <w:t>，积极推荐重点项目</w:t>
      </w:r>
      <w:r>
        <w:rPr>
          <w:rFonts w:hint="eastAsia" w:ascii="Times New Roman" w:hAnsi="Times New Roman" w:eastAsia="仿宋_GB2312" w:cs="Times New Roman"/>
          <w:color w:val="000000"/>
          <w:sz w:val="32"/>
          <w:szCs w:val="32"/>
          <w:highlight w:val="none"/>
          <w:lang w:val="en-US" w:eastAsia="zh-CN"/>
        </w:rPr>
        <w:t>申报市财政支持工业技术改造专项资金</w:t>
      </w:r>
      <w:r>
        <w:rPr>
          <w:rFonts w:hint="eastAsia" w:ascii="Times New Roman" w:hAnsi="Times New Roman" w:eastAsia="仿宋_GB2312" w:cs="Times New Roman"/>
          <w:color w:val="000000"/>
          <w:sz w:val="32"/>
          <w:szCs w:val="32"/>
          <w:highlight w:val="none"/>
        </w:rPr>
        <w:t>。鼓励金融机构积极争取</w:t>
      </w:r>
      <w:r>
        <w:rPr>
          <w:rFonts w:hint="eastAsia" w:ascii="Times New Roman" w:hAnsi="Times New Roman" w:eastAsia="仿宋_GB2312" w:cs="Times New Roman"/>
          <w:color w:val="000000"/>
          <w:sz w:val="32"/>
          <w:szCs w:val="32"/>
          <w:highlight w:val="none"/>
          <w:lang w:val="en-US" w:eastAsia="zh-CN"/>
        </w:rPr>
        <w:t>国家</w:t>
      </w:r>
      <w:r>
        <w:rPr>
          <w:rFonts w:hint="eastAsia" w:ascii="Times New Roman" w:hAnsi="Times New Roman" w:eastAsia="仿宋_GB2312" w:cs="Times New Roman"/>
          <w:color w:val="000000"/>
          <w:sz w:val="32"/>
          <w:szCs w:val="32"/>
          <w:highlight w:val="none"/>
        </w:rPr>
        <w:t>科技创新和技术改造再贷款等金融支持政策；鼓励金融机构为区内企业在设备更新和技术改造等方面资金需求制定合理方案，运用技术改造再贷款政策工具加强支持，同时扩大制造业中长期贷款投放。（区</w:t>
      </w:r>
      <w:r>
        <w:rPr>
          <w:rFonts w:hint="eastAsia" w:ascii="Times New Roman" w:hAnsi="Times New Roman" w:eastAsia="仿宋_GB2312" w:cs="Times New Roman"/>
          <w:color w:val="000000"/>
          <w:sz w:val="32"/>
          <w:szCs w:val="32"/>
          <w:highlight w:val="none"/>
          <w:lang w:val="en"/>
        </w:rPr>
        <w:t>财政局</w:t>
      </w:r>
      <w:r>
        <w:rPr>
          <w:rFonts w:hint="eastAsia"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
        </w:rPr>
        <w:t>区发改委</w:t>
      </w:r>
      <w:r>
        <w:rPr>
          <w:rFonts w:hint="eastAsia"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
        </w:rPr>
        <w:t>区工信局</w:t>
      </w:r>
      <w:r>
        <w:rPr>
          <w:rFonts w:hint="eastAsia" w:ascii="Times New Roman" w:hAnsi="Times New Roman" w:eastAsia="仿宋_GB2312" w:cs="Times New Roman"/>
          <w:color w:val="000000"/>
          <w:sz w:val="32"/>
          <w:szCs w:val="32"/>
          <w:highlight w:val="none"/>
        </w:rPr>
        <w:t>等部门按职责分工负责）</w:t>
      </w:r>
    </w:p>
    <w:p w14:paraId="1FC5C6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sz w:val="32"/>
          <w:szCs w:val="32"/>
          <w:highlight w:val="none"/>
          <w:lang w:val="en-US" w:eastAsia="zh-CN"/>
        </w:rPr>
      </w:pPr>
    </w:p>
    <w:p w14:paraId="2B6656AB">
      <w:pPr>
        <w:rPr>
          <w:rFonts w:hint="eastAsia" w:ascii="仿宋" w:hAnsi="仿宋" w:eastAsia="仿宋" w:cs="仿宋"/>
          <w:b w:val="0"/>
          <w:bCs w:val="0"/>
          <w:sz w:val="24"/>
          <w:szCs w:val="24"/>
          <w:lang w:val="en-US" w:eastAsia="zh-CN"/>
        </w:rPr>
      </w:pPr>
    </w:p>
    <w:sectPr>
      <w:footerReference r:id="rId3" w:type="default"/>
      <w:pgSz w:w="11906" w:h="16838"/>
      <w:pgMar w:top="1701" w:right="1559" w:bottom="2041" w:left="155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94B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9F63E">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C9F63E">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GQwZGRiMDYyYjIzNGNhNmU1OTc2YTVmMjcyYTkifQ=="/>
  </w:docVars>
  <w:rsids>
    <w:rsidRoot w:val="3EB03DFA"/>
    <w:rsid w:val="00272FEE"/>
    <w:rsid w:val="00296707"/>
    <w:rsid w:val="003B7B30"/>
    <w:rsid w:val="00594E9B"/>
    <w:rsid w:val="009510BD"/>
    <w:rsid w:val="01545A05"/>
    <w:rsid w:val="019107DC"/>
    <w:rsid w:val="02021905"/>
    <w:rsid w:val="024055D5"/>
    <w:rsid w:val="02510197"/>
    <w:rsid w:val="0283713E"/>
    <w:rsid w:val="029F69A0"/>
    <w:rsid w:val="02BF77F6"/>
    <w:rsid w:val="033162B5"/>
    <w:rsid w:val="03A40232"/>
    <w:rsid w:val="03CE584C"/>
    <w:rsid w:val="042D4B1E"/>
    <w:rsid w:val="042E6481"/>
    <w:rsid w:val="04826D2E"/>
    <w:rsid w:val="04847044"/>
    <w:rsid w:val="05432938"/>
    <w:rsid w:val="054849F2"/>
    <w:rsid w:val="05C66BB1"/>
    <w:rsid w:val="05EF3F4F"/>
    <w:rsid w:val="070952C0"/>
    <w:rsid w:val="07261428"/>
    <w:rsid w:val="07702E6D"/>
    <w:rsid w:val="07D95F6A"/>
    <w:rsid w:val="0922463B"/>
    <w:rsid w:val="09482C84"/>
    <w:rsid w:val="097C5AE5"/>
    <w:rsid w:val="0A6A0048"/>
    <w:rsid w:val="0AA1025C"/>
    <w:rsid w:val="0AF849FA"/>
    <w:rsid w:val="0B066633"/>
    <w:rsid w:val="0B605749"/>
    <w:rsid w:val="0BC639A4"/>
    <w:rsid w:val="0BE21843"/>
    <w:rsid w:val="0BE67BA2"/>
    <w:rsid w:val="0C7903AC"/>
    <w:rsid w:val="0CAD06C0"/>
    <w:rsid w:val="0CD619C5"/>
    <w:rsid w:val="0DAE649D"/>
    <w:rsid w:val="0E127688"/>
    <w:rsid w:val="0E2B7421"/>
    <w:rsid w:val="0E6B7DE2"/>
    <w:rsid w:val="10347D0A"/>
    <w:rsid w:val="1042643D"/>
    <w:rsid w:val="109176AE"/>
    <w:rsid w:val="10B41CDF"/>
    <w:rsid w:val="116C1408"/>
    <w:rsid w:val="11AD3C30"/>
    <w:rsid w:val="11C40985"/>
    <w:rsid w:val="11CB28F1"/>
    <w:rsid w:val="11E66440"/>
    <w:rsid w:val="123504A3"/>
    <w:rsid w:val="12955E7E"/>
    <w:rsid w:val="12B553A1"/>
    <w:rsid w:val="13091500"/>
    <w:rsid w:val="13547F36"/>
    <w:rsid w:val="137361BF"/>
    <w:rsid w:val="13983F9E"/>
    <w:rsid w:val="14136574"/>
    <w:rsid w:val="146E25C8"/>
    <w:rsid w:val="14911373"/>
    <w:rsid w:val="14A27D20"/>
    <w:rsid w:val="14BC5D04"/>
    <w:rsid w:val="15276810"/>
    <w:rsid w:val="153A7387"/>
    <w:rsid w:val="16525047"/>
    <w:rsid w:val="16C1147B"/>
    <w:rsid w:val="16EB2510"/>
    <w:rsid w:val="176954CA"/>
    <w:rsid w:val="17D86320"/>
    <w:rsid w:val="184A1872"/>
    <w:rsid w:val="18695DE3"/>
    <w:rsid w:val="189E7349"/>
    <w:rsid w:val="18B04FBB"/>
    <w:rsid w:val="18B73487"/>
    <w:rsid w:val="18D32728"/>
    <w:rsid w:val="18E703B9"/>
    <w:rsid w:val="19204910"/>
    <w:rsid w:val="1935699B"/>
    <w:rsid w:val="19A766B9"/>
    <w:rsid w:val="19C239FC"/>
    <w:rsid w:val="1A4E318B"/>
    <w:rsid w:val="1A7840BB"/>
    <w:rsid w:val="1AB07CF9"/>
    <w:rsid w:val="1AC27A2C"/>
    <w:rsid w:val="1B4E0110"/>
    <w:rsid w:val="1BA31E61"/>
    <w:rsid w:val="1BFA76C4"/>
    <w:rsid w:val="1C0200BE"/>
    <w:rsid w:val="1C767788"/>
    <w:rsid w:val="1C89792C"/>
    <w:rsid w:val="1C981261"/>
    <w:rsid w:val="1ED81F55"/>
    <w:rsid w:val="1F3B1407"/>
    <w:rsid w:val="203F6914"/>
    <w:rsid w:val="20AE18B0"/>
    <w:rsid w:val="21276DD2"/>
    <w:rsid w:val="224575B6"/>
    <w:rsid w:val="22885BF9"/>
    <w:rsid w:val="22F34C27"/>
    <w:rsid w:val="23263442"/>
    <w:rsid w:val="234E3634"/>
    <w:rsid w:val="23C549CF"/>
    <w:rsid w:val="23F944BF"/>
    <w:rsid w:val="246D6C5B"/>
    <w:rsid w:val="246F4781"/>
    <w:rsid w:val="25523147"/>
    <w:rsid w:val="25BB6BE3"/>
    <w:rsid w:val="25D24D58"/>
    <w:rsid w:val="262B0B7B"/>
    <w:rsid w:val="263E74AD"/>
    <w:rsid w:val="268B714F"/>
    <w:rsid w:val="26B61130"/>
    <w:rsid w:val="26B8706F"/>
    <w:rsid w:val="26EC7C87"/>
    <w:rsid w:val="27246F33"/>
    <w:rsid w:val="27942B3C"/>
    <w:rsid w:val="28A07792"/>
    <w:rsid w:val="28E028E9"/>
    <w:rsid w:val="28EA4B42"/>
    <w:rsid w:val="28EF0F8F"/>
    <w:rsid w:val="28F96D0F"/>
    <w:rsid w:val="296A2B8A"/>
    <w:rsid w:val="29DE3D0C"/>
    <w:rsid w:val="29F37C02"/>
    <w:rsid w:val="2AF1707F"/>
    <w:rsid w:val="2AF41E87"/>
    <w:rsid w:val="2B0C4A0B"/>
    <w:rsid w:val="2BA039D9"/>
    <w:rsid w:val="2C6613E2"/>
    <w:rsid w:val="2C9876CD"/>
    <w:rsid w:val="2CAB03A4"/>
    <w:rsid w:val="2CC70747"/>
    <w:rsid w:val="2CE23608"/>
    <w:rsid w:val="2FC53D40"/>
    <w:rsid w:val="30790154"/>
    <w:rsid w:val="310461B3"/>
    <w:rsid w:val="32E84192"/>
    <w:rsid w:val="336F02F9"/>
    <w:rsid w:val="347E5718"/>
    <w:rsid w:val="348A4CBF"/>
    <w:rsid w:val="3516543A"/>
    <w:rsid w:val="352149AF"/>
    <w:rsid w:val="362E2246"/>
    <w:rsid w:val="36736ED2"/>
    <w:rsid w:val="36841C9D"/>
    <w:rsid w:val="369F7E53"/>
    <w:rsid w:val="36B129D7"/>
    <w:rsid w:val="37151B83"/>
    <w:rsid w:val="37826977"/>
    <w:rsid w:val="37827602"/>
    <w:rsid w:val="382611A3"/>
    <w:rsid w:val="38777D66"/>
    <w:rsid w:val="388678BE"/>
    <w:rsid w:val="38BB30DC"/>
    <w:rsid w:val="39875C71"/>
    <w:rsid w:val="39A069B6"/>
    <w:rsid w:val="39CD4E2C"/>
    <w:rsid w:val="39E263C7"/>
    <w:rsid w:val="39E74848"/>
    <w:rsid w:val="39F52602"/>
    <w:rsid w:val="3A0379ED"/>
    <w:rsid w:val="3A720177"/>
    <w:rsid w:val="3B1D0143"/>
    <w:rsid w:val="3B2745F6"/>
    <w:rsid w:val="3BB207A9"/>
    <w:rsid w:val="3BE31970"/>
    <w:rsid w:val="3C093C2E"/>
    <w:rsid w:val="3C2316CF"/>
    <w:rsid w:val="3C35562E"/>
    <w:rsid w:val="3C9C66B4"/>
    <w:rsid w:val="3CB90837"/>
    <w:rsid w:val="3CE138EA"/>
    <w:rsid w:val="3CF054BE"/>
    <w:rsid w:val="3D2E1E9E"/>
    <w:rsid w:val="3DF56EB1"/>
    <w:rsid w:val="3EB03DFA"/>
    <w:rsid w:val="3F7A4533"/>
    <w:rsid w:val="3FA62DB4"/>
    <w:rsid w:val="3FAE2B00"/>
    <w:rsid w:val="401B483B"/>
    <w:rsid w:val="40AE60D4"/>
    <w:rsid w:val="40B95F46"/>
    <w:rsid w:val="410C362B"/>
    <w:rsid w:val="422031DE"/>
    <w:rsid w:val="424F794B"/>
    <w:rsid w:val="429F227D"/>
    <w:rsid w:val="44C337EB"/>
    <w:rsid w:val="44CE0BF8"/>
    <w:rsid w:val="459534C4"/>
    <w:rsid w:val="45FC02B9"/>
    <w:rsid w:val="46220097"/>
    <w:rsid w:val="46522ED9"/>
    <w:rsid w:val="465957BB"/>
    <w:rsid w:val="46984AFB"/>
    <w:rsid w:val="46BB2F81"/>
    <w:rsid w:val="476C7C0A"/>
    <w:rsid w:val="481A1825"/>
    <w:rsid w:val="487153E7"/>
    <w:rsid w:val="48ED3375"/>
    <w:rsid w:val="494C58F8"/>
    <w:rsid w:val="496D4E83"/>
    <w:rsid w:val="49702560"/>
    <w:rsid w:val="4A1B39BA"/>
    <w:rsid w:val="4A7501B5"/>
    <w:rsid w:val="4A792E3C"/>
    <w:rsid w:val="4A960FD7"/>
    <w:rsid w:val="4AA85A47"/>
    <w:rsid w:val="4B0149D1"/>
    <w:rsid w:val="4BDC4ED7"/>
    <w:rsid w:val="4BF17AAF"/>
    <w:rsid w:val="4C9C7A93"/>
    <w:rsid w:val="4CAB10A5"/>
    <w:rsid w:val="4CBA79DA"/>
    <w:rsid w:val="4D73431C"/>
    <w:rsid w:val="4E1F0E51"/>
    <w:rsid w:val="4E4C1E6E"/>
    <w:rsid w:val="4ECF7547"/>
    <w:rsid w:val="4EDF611A"/>
    <w:rsid w:val="4F3A61C7"/>
    <w:rsid w:val="4F557DF0"/>
    <w:rsid w:val="4F6C409E"/>
    <w:rsid w:val="4F8E5B53"/>
    <w:rsid w:val="50595DC2"/>
    <w:rsid w:val="5113702F"/>
    <w:rsid w:val="514E574D"/>
    <w:rsid w:val="52526D15"/>
    <w:rsid w:val="52617D6E"/>
    <w:rsid w:val="5270753D"/>
    <w:rsid w:val="52902EFC"/>
    <w:rsid w:val="539543D2"/>
    <w:rsid w:val="53F66777"/>
    <w:rsid w:val="541C44B7"/>
    <w:rsid w:val="548A4A4A"/>
    <w:rsid w:val="54DE2983"/>
    <w:rsid w:val="54EF1567"/>
    <w:rsid w:val="56940935"/>
    <w:rsid w:val="56A007A2"/>
    <w:rsid w:val="56BF2829"/>
    <w:rsid w:val="56CD10B7"/>
    <w:rsid w:val="56E804F2"/>
    <w:rsid w:val="56F664B8"/>
    <w:rsid w:val="57B415D9"/>
    <w:rsid w:val="57D35153"/>
    <w:rsid w:val="57D85BBE"/>
    <w:rsid w:val="58CF7431"/>
    <w:rsid w:val="58EC0D07"/>
    <w:rsid w:val="59044AE3"/>
    <w:rsid w:val="590A12C6"/>
    <w:rsid w:val="59905198"/>
    <w:rsid w:val="5A236E98"/>
    <w:rsid w:val="5A6715C3"/>
    <w:rsid w:val="5AEE74A6"/>
    <w:rsid w:val="5AFF7905"/>
    <w:rsid w:val="5BA109BC"/>
    <w:rsid w:val="5BF62AB6"/>
    <w:rsid w:val="5D652BA6"/>
    <w:rsid w:val="5D6E1180"/>
    <w:rsid w:val="5D873B8C"/>
    <w:rsid w:val="5DDC3F2E"/>
    <w:rsid w:val="5DEA5CEA"/>
    <w:rsid w:val="5E1825CA"/>
    <w:rsid w:val="5E317DD6"/>
    <w:rsid w:val="5E587A58"/>
    <w:rsid w:val="5E890C10"/>
    <w:rsid w:val="5ED75362"/>
    <w:rsid w:val="5F0279C4"/>
    <w:rsid w:val="5F4F0B4E"/>
    <w:rsid w:val="5F6E6E08"/>
    <w:rsid w:val="60050EFD"/>
    <w:rsid w:val="60307A7E"/>
    <w:rsid w:val="607F7E6E"/>
    <w:rsid w:val="608C1C3B"/>
    <w:rsid w:val="60996DCF"/>
    <w:rsid w:val="61BD05B7"/>
    <w:rsid w:val="62716891"/>
    <w:rsid w:val="62A90B67"/>
    <w:rsid w:val="62B31701"/>
    <w:rsid w:val="62B80105"/>
    <w:rsid w:val="63021D41"/>
    <w:rsid w:val="63302D52"/>
    <w:rsid w:val="6372210C"/>
    <w:rsid w:val="63C24D92"/>
    <w:rsid w:val="641B0868"/>
    <w:rsid w:val="641B5F97"/>
    <w:rsid w:val="64867E2F"/>
    <w:rsid w:val="64E156AA"/>
    <w:rsid w:val="653D4841"/>
    <w:rsid w:val="656C62A7"/>
    <w:rsid w:val="65C22692"/>
    <w:rsid w:val="65D40DFF"/>
    <w:rsid w:val="66097552"/>
    <w:rsid w:val="664A1868"/>
    <w:rsid w:val="664D0F8C"/>
    <w:rsid w:val="665E0BAB"/>
    <w:rsid w:val="669709D5"/>
    <w:rsid w:val="670A38BA"/>
    <w:rsid w:val="67191078"/>
    <w:rsid w:val="676B31DE"/>
    <w:rsid w:val="67BB12F4"/>
    <w:rsid w:val="67FB41E6"/>
    <w:rsid w:val="681038AF"/>
    <w:rsid w:val="68784853"/>
    <w:rsid w:val="68EA193E"/>
    <w:rsid w:val="68FF3E6E"/>
    <w:rsid w:val="69D87020"/>
    <w:rsid w:val="6A023E3B"/>
    <w:rsid w:val="6A107439"/>
    <w:rsid w:val="6A3F4203"/>
    <w:rsid w:val="6A7C1BB2"/>
    <w:rsid w:val="6A94006A"/>
    <w:rsid w:val="6B2C05AD"/>
    <w:rsid w:val="6B5F12C3"/>
    <w:rsid w:val="6BD55A96"/>
    <w:rsid w:val="6BE24E05"/>
    <w:rsid w:val="6CD72490"/>
    <w:rsid w:val="6D8403B1"/>
    <w:rsid w:val="6E0F34F4"/>
    <w:rsid w:val="6E11327E"/>
    <w:rsid w:val="6E711A06"/>
    <w:rsid w:val="6E9005CF"/>
    <w:rsid w:val="6ECE341F"/>
    <w:rsid w:val="6F1E6154"/>
    <w:rsid w:val="6F490CF7"/>
    <w:rsid w:val="6FF5602B"/>
    <w:rsid w:val="701724AD"/>
    <w:rsid w:val="70A96331"/>
    <w:rsid w:val="70CD431D"/>
    <w:rsid w:val="70D14B7A"/>
    <w:rsid w:val="70D42D52"/>
    <w:rsid w:val="70E21403"/>
    <w:rsid w:val="70FA6BC2"/>
    <w:rsid w:val="713C4FB8"/>
    <w:rsid w:val="719B1DA7"/>
    <w:rsid w:val="71B46F1F"/>
    <w:rsid w:val="723C3D12"/>
    <w:rsid w:val="7271258B"/>
    <w:rsid w:val="731866F3"/>
    <w:rsid w:val="73510A68"/>
    <w:rsid w:val="737D4C17"/>
    <w:rsid w:val="73A11326"/>
    <w:rsid w:val="73B928EF"/>
    <w:rsid w:val="74960FAE"/>
    <w:rsid w:val="74B03CF2"/>
    <w:rsid w:val="75A208C5"/>
    <w:rsid w:val="76AC6EDB"/>
    <w:rsid w:val="77327ECF"/>
    <w:rsid w:val="77D575CC"/>
    <w:rsid w:val="785174BE"/>
    <w:rsid w:val="78736971"/>
    <w:rsid w:val="787943FB"/>
    <w:rsid w:val="78E56254"/>
    <w:rsid w:val="795D3DED"/>
    <w:rsid w:val="79954167"/>
    <w:rsid w:val="79FB3B0C"/>
    <w:rsid w:val="7A532DF5"/>
    <w:rsid w:val="7B50164F"/>
    <w:rsid w:val="7B562866"/>
    <w:rsid w:val="7C4D62CB"/>
    <w:rsid w:val="7C4F100E"/>
    <w:rsid w:val="7C75137E"/>
    <w:rsid w:val="7CDE33C7"/>
    <w:rsid w:val="7D060CAB"/>
    <w:rsid w:val="7D4D542D"/>
    <w:rsid w:val="7E4D5B60"/>
    <w:rsid w:val="7E9B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line="560" w:lineRule="exact"/>
      <w:ind w:firstLine="200" w:firstLineChars="200"/>
      <w:jc w:val="left"/>
      <w:outlineLvl w:val="1"/>
    </w:pPr>
    <w:rPr>
      <w:rFonts w:ascii="黑体" w:hAnsi="宋体" w:eastAsia="黑体" w:cs="宋体"/>
      <w:bCs/>
      <w:kern w:val="0"/>
      <w:sz w:val="32"/>
      <w:szCs w:val="36"/>
    </w:rPr>
  </w:style>
  <w:style w:type="paragraph" w:styleId="3">
    <w:name w:val="heading 5"/>
    <w:next w:val="1"/>
    <w:unhideWhenUsed/>
    <w:qFormat/>
    <w:uiPriority w:val="9"/>
    <w:pPr>
      <w:keepNext/>
      <w:keepLines/>
      <w:widowControl w:val="0"/>
      <w:spacing w:before="280" w:after="290" w:line="376" w:lineRule="auto"/>
      <w:jc w:val="both"/>
      <w:outlineLvl w:val="4"/>
    </w:pPr>
    <w:rPr>
      <w:rFonts w:ascii="Times New Roman" w:hAnsi="Times New Roman" w:eastAsia="仿宋_GB2312" w:cs="Times New Roman"/>
      <w:b/>
      <w:bCs/>
      <w:kern w:val="2"/>
      <w:sz w:val="28"/>
      <w:szCs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500" w:lineRule="exact"/>
      <w:jc w:val="center"/>
    </w:pPr>
    <w:rPr>
      <w:rFonts w:eastAsia="黑体"/>
      <w:sz w:val="32"/>
    </w:rPr>
  </w:style>
  <w:style w:type="paragraph" w:styleId="5">
    <w:name w:val="Balloon Text"/>
    <w:basedOn w:val="1"/>
    <w:semiHidden/>
    <w:qFormat/>
    <w:uiPriority w:val="0"/>
    <w:rPr>
      <w:sz w:val="18"/>
      <w:szCs w:val="18"/>
    </w:rPr>
  </w:style>
  <w:style w:type="paragraph" w:styleId="6">
    <w:name w:val="Body Text Indent 2"/>
    <w:basedOn w:val="1"/>
    <w:next w:val="1"/>
    <w:qFormat/>
    <w:uiPriority w:val="0"/>
    <w:pPr>
      <w:spacing w:after="120" w:line="480" w:lineRule="auto"/>
      <w:ind w:left="420" w:leftChars="200"/>
    </w:pPr>
    <w:rPr>
      <w:rFonts w:ascii="Calibri" w:hAnsi="Calibri" w:eastAsia="宋体" w:cs="Times New Roman"/>
      <w:szCs w:val="24"/>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880" w:firstLineChars="200"/>
    </w:pPr>
  </w:style>
  <w:style w:type="character" w:styleId="13">
    <w:name w:val="Strong"/>
    <w:basedOn w:val="12"/>
    <w:qFormat/>
    <w:uiPriority w:val="0"/>
    <w:rPr>
      <w:b/>
    </w:rPr>
  </w:style>
  <w:style w:type="paragraph" w:customStyle="1" w:styleId="14">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font11"/>
    <w:basedOn w:val="12"/>
    <w:qFormat/>
    <w:uiPriority w:val="0"/>
    <w:rPr>
      <w:rFonts w:hint="eastAsia" w:ascii="仿宋_GB2312" w:eastAsia="仿宋_GB2312" w:cs="仿宋_GB2312"/>
      <w:color w:val="000000"/>
      <w:sz w:val="24"/>
      <w:szCs w:val="24"/>
      <w:u w:val="none"/>
    </w:rPr>
  </w:style>
  <w:style w:type="character" w:customStyle="1" w:styleId="16">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8161</Words>
  <Characters>8325</Characters>
  <Lines>0</Lines>
  <Paragraphs>0</Paragraphs>
  <TotalTime>6</TotalTime>
  <ScaleCrop>false</ScaleCrop>
  <LinksUpToDate>false</LinksUpToDate>
  <CharactersWithSpaces>8357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2024-08-26T06:50:00Z</dcterms:created>
  <dc:creator>blUe，</dc:creator>
  <cp:lastModifiedBy>blUe，</cp:lastModifiedBy>
  <cp:lastPrinted>2024-09-27T06:53:00Z</cp:lastPrinted>
  <dcterms:modified xsi:type="dcterms:W3CDTF">2024-10-08T02:22:55Z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317BE73E0D464B0DBD86122F8D6ECEA7_11</vt:lpwstr>
  </property>
</Properties>
</file>