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天津市宁河区区级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储备粮轮换管理办法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【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修订</w:t>
      </w:r>
      <w:r>
        <w:rPr>
          <w:rFonts w:hint="eastAsia" w:ascii="黑体" w:hAnsi="黑体" w:eastAsia="黑体" w:cs="黑体"/>
          <w:sz w:val="32"/>
          <w:szCs w:val="32"/>
        </w:rPr>
        <w:t>目的】</w:t>
      </w:r>
      <w:r>
        <w:rPr>
          <w:rFonts w:hint="default" w:ascii="黑体" w:hAnsi="黑体" w:eastAsia="黑体" w:cs="黑体"/>
          <w:sz w:val="32"/>
          <w:szCs w:val="32"/>
          <w:lang w:val="e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为实现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区级储备粮</w:t>
      </w:r>
      <w:r>
        <w:rPr>
          <w:rFonts w:hint="eastAsia" w:ascii="仿宋_GB2312" w:hAnsi="仿宋_GB2312" w:eastAsia="仿宋_GB2312" w:cs="仿宋_GB2312"/>
          <w:sz w:val="32"/>
          <w:szCs w:val="32"/>
        </w:rPr>
        <w:t>轮换工作制度化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级储备粮数量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真实、</w:t>
      </w:r>
      <w:r>
        <w:rPr>
          <w:rFonts w:hint="eastAsia" w:ascii="仿宋_GB2312" w:hAnsi="仿宋_GB2312" w:eastAsia="仿宋_GB2312" w:cs="仿宋_GB2312"/>
          <w:sz w:val="32"/>
          <w:szCs w:val="32"/>
        </w:rPr>
        <w:t>质量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良好</w:t>
      </w:r>
      <w:r>
        <w:rPr>
          <w:rFonts w:hint="eastAsia" w:ascii="仿宋_GB2312" w:hAnsi="仿宋_GB2312" w:eastAsia="仿宋_GB2312" w:cs="仿宋_GB2312"/>
          <w:sz w:val="32"/>
          <w:szCs w:val="32"/>
        </w:rPr>
        <w:t>和储存安全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根据国家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、天津市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有关法律法规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规章</w:t>
      </w:r>
      <w:r>
        <w:rPr>
          <w:rFonts w:hint="eastAsia" w:ascii="仿宋_GB2312" w:hAnsi="仿宋_GB2312" w:eastAsia="仿宋_GB2312" w:cs="仿宋_GB2312"/>
          <w:sz w:val="32"/>
          <w:szCs w:val="32"/>
        </w:rPr>
        <w:t>和政策规定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制定本办法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第一条</w:t>
      </w:r>
      <w:r>
        <w:rPr>
          <w:rFonts w:hint="eastAsia" w:ascii="黑体" w:hAnsi="黑体" w:eastAsia="黑体" w:cs="黑体"/>
          <w:bCs/>
          <w:sz w:val="32"/>
          <w:szCs w:val="32"/>
        </w:rPr>
        <w:t>【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概念解释</w:t>
      </w:r>
      <w:r>
        <w:rPr>
          <w:rFonts w:hint="eastAsia" w:ascii="黑体" w:hAnsi="黑体" w:eastAsia="黑体" w:cs="黑体"/>
          <w:bCs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级储备粮轮换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是指在保持储备规模不变的前提下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承储企业以符合质量要求的当年(粮食年度)生产的新粮等量轮换库存粮食的活动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2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条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【总体要求】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级储备粮轮换应当服从宏观调控需要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保障粮食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场稳定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第三条【管理费用】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级储备粮轮换费用实行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轮换差价、贷款利息据实拨付。保管费用执行标准为小麦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100元/吨/年；稻谷120元/吨/年，大米275元/吨/年，出入库费40元/吨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第四条【轮换原则】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级储备粮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实行</w:t>
      </w:r>
      <w:r>
        <w:rPr>
          <w:rFonts w:hint="eastAsia" w:ascii="仿宋_GB2312" w:hAnsi="仿宋_GB2312" w:eastAsia="仿宋_GB2312" w:cs="仿宋_GB2312"/>
          <w:sz w:val="32"/>
          <w:szCs w:val="32"/>
        </w:rPr>
        <w:t>均衡轮换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轮出以储存品质为依据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以储存年限为参考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轮入的粮食应符合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国家、天津市规定的</w:t>
      </w:r>
      <w:r>
        <w:rPr>
          <w:rFonts w:hint="eastAsia" w:ascii="仿宋_GB2312" w:hAnsi="仿宋_GB2312" w:eastAsia="仿宋_GB2312" w:cs="仿宋_GB2312"/>
          <w:sz w:val="32"/>
          <w:szCs w:val="32"/>
        </w:rPr>
        <w:t>质量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标准。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条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【轮换计划】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级储备粮轮换实行严格的计划管理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区发改委会同区财政局、农发行宁河支行制定下达下年度区级储备粮轮换计划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，区储备粮运营管理企业按照轮换计划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在轮换期提出轮换申请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区发改委</w:t>
      </w:r>
      <w:r>
        <w:rPr>
          <w:rFonts w:hint="eastAsia" w:ascii="仿宋_GB2312" w:hAnsi="仿宋_GB2312" w:eastAsia="仿宋_GB2312" w:cs="仿宋_GB2312"/>
          <w:sz w:val="32"/>
          <w:szCs w:val="32"/>
        </w:rPr>
        <w:t>会同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报请区人民政府批准后，区发改委、区财政局、农发行宁河支行将</w:t>
      </w:r>
      <w:r>
        <w:rPr>
          <w:rFonts w:hint="eastAsia" w:ascii="仿宋_GB2312" w:hAnsi="仿宋_GB2312" w:eastAsia="仿宋_GB2312" w:cs="仿宋_GB2312"/>
          <w:sz w:val="32"/>
          <w:szCs w:val="32"/>
        </w:rPr>
        <w:t>轮换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下达给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区储备粮运营管理企业。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区储备粮运营管理企业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通知要求和</w:t>
      </w:r>
      <w:r>
        <w:rPr>
          <w:rFonts w:hint="eastAsia" w:ascii="仿宋_GB2312" w:hAnsi="仿宋_GB2312" w:eastAsia="仿宋_GB2312" w:cs="仿宋_GB2312"/>
          <w:sz w:val="32"/>
          <w:szCs w:val="32"/>
        </w:rPr>
        <w:t>粮食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场形势变化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调控需要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，具体组织区级储备粮轮换。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第六条【交易方式】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级储备粮轮换坚持公开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公平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公正原则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依托中国天津粮油批发交易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场及其网上交易平台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开展公开竞价交易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交易手续费在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粮食风险基金中列支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根据需要</w:t>
      </w:r>
      <w:r>
        <w:rPr>
          <w:rFonts w:hint="eastAsia" w:ascii="仿宋_GB2312" w:hAnsi="仿宋_GB2312" w:eastAsia="仿宋_GB2312" w:cs="仿宋_GB2312"/>
          <w:sz w:val="32"/>
          <w:szCs w:val="32"/>
        </w:rPr>
        <w:t>也可采取直接收购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、邀标</w:t>
      </w:r>
      <w:r>
        <w:rPr>
          <w:rFonts w:hint="eastAsia" w:ascii="仿宋_GB2312" w:hAnsi="仿宋_GB2312" w:eastAsia="仿宋_GB2312" w:cs="仿宋_GB2312"/>
          <w:sz w:val="32"/>
          <w:szCs w:val="32"/>
        </w:rPr>
        <w:t>竞价销售等方式进行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。其过</w:t>
      </w:r>
      <w:r>
        <w:rPr>
          <w:rFonts w:hint="eastAsia" w:ascii="仿宋_GB2312" w:hAnsi="仿宋_GB2312" w:eastAsia="仿宋_GB2312" w:cs="仿宋_GB2312"/>
          <w:sz w:val="32"/>
          <w:szCs w:val="32"/>
        </w:rPr>
        <w:t>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留痕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备查，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相关凭证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资料至少保留6年以上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条【轮换期限】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级储备粮轮出后应尽快组织轮入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轮换架空期原则上不得超过4个月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，确</w:t>
      </w:r>
      <w:r>
        <w:rPr>
          <w:rFonts w:hint="eastAsia" w:ascii="仿宋_GB2312" w:hAnsi="仿宋_GB2312" w:eastAsia="仿宋_GB2312" w:cs="仿宋_GB2312"/>
          <w:sz w:val="32"/>
          <w:szCs w:val="32"/>
        </w:rPr>
        <w:t>因重大自然灾害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突发事件等不可抗力因素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在规定时间内不能完成轮入的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区发改委、区财政局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批准同意后方可延长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延长期内不享受保管费用补贴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级储备粮轮换入库后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，区储备粮运营管理企业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应委托具有检验资质的检测机构对入库粮食的质量进行检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测。</w:t>
      </w:r>
      <w:r>
        <w:rPr>
          <w:rFonts w:hint="eastAsia" w:ascii="仿宋_GB2312" w:hAnsi="仿宋_GB2312" w:eastAsia="仿宋_GB2312" w:cs="仿宋_GB2312"/>
          <w:sz w:val="32"/>
          <w:szCs w:val="32"/>
        </w:rPr>
        <w:t>
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第八条【资金处理】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级储备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粮轮换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统</w:t>
      </w:r>
      <w:r>
        <w:rPr>
          <w:rFonts w:hint="eastAsia" w:ascii="仿宋_GB2312" w:hAnsi="仿宋_GB2312" w:eastAsia="仿宋_GB2312" w:cs="仿宋_GB2312"/>
          <w:sz w:val="32"/>
          <w:szCs w:val="32"/>
        </w:rPr>
        <w:t>一由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区储备粮运营管理企业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农发行宁河支行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申请贷款解决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按照“购贷销还”的原则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，及时</w:t>
      </w:r>
      <w:r>
        <w:rPr>
          <w:rFonts w:hint="eastAsia" w:ascii="仿宋_GB2312" w:hAnsi="仿宋_GB2312" w:eastAsia="仿宋_GB2312" w:cs="仿宋_GB2312"/>
          <w:sz w:val="32"/>
          <w:szCs w:val="32"/>
        </w:rPr>
        <w:t>将销售回笼的轮换资金归还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农发行宁河支行。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第九条【职责要求】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区储备粮运营管理企业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严格执行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储</w:t>
      </w:r>
      <w:r>
        <w:rPr>
          <w:rFonts w:hint="eastAsia" w:ascii="仿宋_GB2312" w:hAnsi="仿宋_GB2312" w:eastAsia="仿宋_GB2312" w:cs="仿宋_GB2312"/>
          <w:sz w:val="32"/>
          <w:szCs w:val="32"/>
        </w:rPr>
        <w:t>备粮财务相关管理规定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及时提报补贴申请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并对补贴申报材料的真实性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准确性负责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。区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财政局应及时审核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足额拨付轮换费用和贷款利息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农发行天津市分行应及时提供轮换所需贷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款，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保证轮换工作的顺利进行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第十条【统计制度】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级储备粮轮换统计按照天津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粮食流通统计制度有关规定执行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。区储备粮运营管理企业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应及时准确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真实反映轮出轮入数量及轮换架空期等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内容，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并将年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</w:t>
      </w:r>
      <w:r>
        <w:rPr>
          <w:rFonts w:hint="eastAsia" w:ascii="仿宋_GB2312" w:hAnsi="仿宋_GB2312" w:eastAsia="仿宋_GB2312" w:cs="仿宋_GB2312"/>
          <w:sz w:val="32"/>
          <w:szCs w:val="32"/>
        </w:rPr>
        <w:t>轮换计划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执行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区发改委、区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、农发行宁河支行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第十一条【加强管理】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区储备粮运营管理企业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应根据本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建立健全各项规章制度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合理安排轮换时机和节奏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确保计划如期完成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第十二条【监督检查】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区发改委、区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、农发行宁河支行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按照职责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区储备粮运营管理企业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轮换计划执行情况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监督检查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条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【法律责任】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有下列行为之一的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，区储备粮运营管理企业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承担全部责任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，区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有关部门将依法依规予以严肃处理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根据情况追回相关补贴资金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涉嫌犯罪的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移送司法机关处理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(一)轮入的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级储备粮质量达不到规定标准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掺杂使假、</w:t>
      </w:r>
      <w:r>
        <w:rPr>
          <w:rFonts w:hint="eastAsia" w:ascii="仿宋_GB2312" w:hAnsi="仿宋_GB2312" w:eastAsia="仿宋_GB2312" w:cs="仿宋_GB2312"/>
          <w:sz w:val="32"/>
          <w:szCs w:val="32"/>
        </w:rPr>
        <w:t>以次充好的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(二)未经批准擅自轮换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变更品种等级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超过轮换架空期的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(三)未轮报轮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“转圈”轮换的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(四)套取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骗取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虚报轮换资金和费用的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(五)未按要求如实提供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级储备粮轮换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数据</w:t>
      </w:r>
      <w:r>
        <w:rPr>
          <w:rFonts w:hint="eastAsia" w:ascii="仿宋_GB2312" w:hAnsi="仿宋_GB2312" w:eastAsia="仿宋_GB2312" w:cs="仿宋_GB2312"/>
          <w:sz w:val="32"/>
          <w:szCs w:val="32"/>
        </w:rPr>
        <w:t>及资料的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第十四条【施行日期】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本实施办法自自二〇二〇年十二月一日起施行。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</w:t>
      </w:r>
    </w:p>
    <w:sectPr>
      <w:footerReference r:id="rId5" w:type="default"/>
      <w:pgSz w:w="12240" w:h="15840"/>
      <w:pgMar w:top="1440" w:right="1474" w:bottom="1440" w:left="1417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秀体简">
    <w:panose1 w:val="00020600040101010101"/>
    <w:charset w:val="86"/>
    <w:family w:val="auto"/>
    <w:pitch w:val="default"/>
    <w:sig w:usb0="A00002BF" w:usb1="1ACF7CFA" w:usb2="00000016" w:usb3="00000000" w:csb0="000400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BL25QFtgEAAFU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F2"/>
    <w:rsid w:val="00A02F19"/>
    <w:rsid w:val="00A94AF2"/>
    <w:rsid w:val="020016C9"/>
    <w:rsid w:val="081406D4"/>
    <w:rsid w:val="0E7D36DF"/>
    <w:rsid w:val="12164600"/>
    <w:rsid w:val="19EF4761"/>
    <w:rsid w:val="23B708E2"/>
    <w:rsid w:val="31CF1D89"/>
    <w:rsid w:val="3A9A49C8"/>
    <w:rsid w:val="3BED3D35"/>
    <w:rsid w:val="3E684FEF"/>
    <w:rsid w:val="3F4FACB3"/>
    <w:rsid w:val="43B249EE"/>
    <w:rsid w:val="4FE10B5D"/>
    <w:rsid w:val="659F19D1"/>
    <w:rsid w:val="6AAC439D"/>
    <w:rsid w:val="6C9F8B68"/>
    <w:rsid w:val="747839FC"/>
    <w:rsid w:val="757F5772"/>
    <w:rsid w:val="767E5114"/>
    <w:rsid w:val="76D98B05"/>
    <w:rsid w:val="7F5B5BC7"/>
    <w:rsid w:val="7FFE544A"/>
    <w:rsid w:val="7FFF15DB"/>
    <w:rsid w:val="8FFDADC7"/>
    <w:rsid w:val="B6AB9AE5"/>
    <w:rsid w:val="BE7D3F3A"/>
    <w:rsid w:val="EAB68199"/>
    <w:rsid w:val="EDF6623F"/>
    <w:rsid w:val="EFEF11A9"/>
    <w:rsid w:val="F7FFAE80"/>
    <w:rsid w:val="FFAC9311"/>
    <w:rsid w:val="FFD7C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officegen</Company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2020-11-14T10:55:00Z</dcterms:created>
  <dc:creator>officegen</dc:creator>
  <cp:lastModifiedBy>greatwall</cp:lastModifiedBy>
  <cp:lastPrinted>2020-11-16T10:48:00Z</cp:lastPrinted>
  <dcterms:modified xsi:type="dcterms:W3CDTF">2020-12-28T17:12:04Z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