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jc w:val="center"/>
        <w:rPr>
          <w:rFonts w:ascii="方正小标宋简体" w:eastAsia="方正小标宋简体"/>
          <w:color w:val="auto"/>
          <w:kern w:val="0"/>
          <w:sz w:val="44"/>
          <w:szCs w:val="44"/>
          <w:highlight w:val="none"/>
          <w:u w:val="none"/>
        </w:rPr>
      </w:pPr>
      <w:r>
        <w:rPr>
          <w:rFonts w:hint="eastAsia" w:ascii="方正小标宋简体" w:eastAsia="方正小标宋简体"/>
          <w:color w:val="auto"/>
          <w:kern w:val="0"/>
          <w:sz w:val="44"/>
          <w:szCs w:val="44"/>
          <w:highlight w:val="none"/>
          <w:u w:val="none"/>
        </w:rPr>
        <w:t>天津市宁河区社会救助家庭</w:t>
      </w:r>
    </w:p>
    <w:p>
      <w:pPr>
        <w:widowControl/>
        <w:wordWrap w:val="0"/>
        <w:spacing w:line="560" w:lineRule="exact"/>
        <w:jc w:val="center"/>
        <w:rPr>
          <w:rFonts w:ascii="方正小标宋简体" w:eastAsia="方正小标宋简体"/>
          <w:color w:val="auto"/>
          <w:kern w:val="0"/>
          <w:sz w:val="44"/>
          <w:szCs w:val="44"/>
          <w:highlight w:val="none"/>
          <w:u w:val="none"/>
        </w:rPr>
      </w:pPr>
      <w:r>
        <w:rPr>
          <w:rFonts w:hint="eastAsia" w:ascii="方正小标宋简体" w:eastAsia="方正小标宋简体"/>
          <w:color w:val="auto"/>
          <w:kern w:val="0"/>
          <w:sz w:val="44"/>
          <w:szCs w:val="44"/>
          <w:highlight w:val="none"/>
          <w:u w:val="none"/>
        </w:rPr>
        <w:t>经济状况核定办法实施细则（征求意见稿）</w:t>
      </w:r>
    </w:p>
    <w:p>
      <w:pPr>
        <w:widowControl/>
        <w:wordWrap w:val="0"/>
        <w:spacing w:line="560" w:lineRule="exact"/>
        <w:jc w:val="center"/>
        <w:rPr>
          <w:rFonts w:ascii="黑体" w:hAnsi="黑体" w:eastAsia="黑体"/>
          <w:color w:val="auto"/>
          <w:kern w:val="0"/>
          <w:sz w:val="32"/>
          <w:szCs w:val="32"/>
          <w:highlight w:val="none"/>
          <w:u w:val="none"/>
        </w:rPr>
      </w:pPr>
    </w:p>
    <w:p>
      <w:pPr>
        <w:widowControl/>
        <w:wordWrap w:val="0"/>
        <w:spacing w:line="560" w:lineRule="exact"/>
        <w:jc w:val="center"/>
        <w:rPr>
          <w:rFonts w:ascii="Times New Roman" w:hAnsi="Times New Roman"/>
          <w:color w:val="auto"/>
          <w:kern w:val="0"/>
          <w:szCs w:val="21"/>
          <w:highlight w:val="none"/>
          <w:u w:val="none"/>
        </w:rPr>
      </w:pPr>
      <w:r>
        <w:rPr>
          <w:rFonts w:hint="eastAsia" w:ascii="黑体" w:hAnsi="黑体" w:eastAsia="黑体"/>
          <w:color w:val="auto"/>
          <w:kern w:val="0"/>
          <w:sz w:val="32"/>
          <w:szCs w:val="32"/>
          <w:highlight w:val="none"/>
          <w:u w:val="none"/>
        </w:rPr>
        <w:t>第一章 总 则</w:t>
      </w:r>
    </w:p>
    <w:p>
      <w:pPr>
        <w:widowControl/>
        <w:wordWrap w:val="0"/>
        <w:spacing w:line="560" w:lineRule="exact"/>
        <w:ind w:firstLine="640" w:firstLineChars="200"/>
        <w:rPr>
          <w:rFonts w:ascii="楷体" w:hAnsi="楷体" w:eastAsia="楷体" w:cs="楷体"/>
          <w:color w:val="auto"/>
          <w:kern w:val="0"/>
          <w:sz w:val="32"/>
          <w:szCs w:val="32"/>
          <w:highlight w:val="none"/>
          <w:u w:val="none"/>
        </w:rPr>
      </w:pPr>
    </w:p>
    <w:p>
      <w:pPr>
        <w:widowControl/>
        <w:wordWrap w:val="0"/>
        <w:spacing w:line="560" w:lineRule="exact"/>
        <w:ind w:firstLine="640" w:firstLineChars="200"/>
        <w:rPr>
          <w:rFonts w:ascii="Times New Roman" w:hAnsi="Times New Roman"/>
          <w:color w:val="auto"/>
          <w:kern w:val="0"/>
          <w:sz w:val="32"/>
          <w:szCs w:val="32"/>
          <w:highlight w:val="none"/>
          <w:u w:val="none"/>
        </w:rPr>
      </w:pPr>
      <w:r>
        <w:rPr>
          <w:rFonts w:hint="eastAsia" w:ascii="楷体" w:hAnsi="楷体" w:eastAsia="楷体" w:cs="楷体"/>
          <w:color w:val="auto"/>
          <w:kern w:val="0"/>
          <w:sz w:val="32"/>
          <w:szCs w:val="32"/>
          <w:highlight w:val="none"/>
          <w:u w:val="none"/>
        </w:rPr>
        <w:t>第一条</w:t>
      </w:r>
      <w:r>
        <w:rPr>
          <w:rFonts w:hint="eastAsia" w:ascii="Times New Roman" w:hAnsi="Times New Roman" w:eastAsia="楷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为进一步规范我区社会救助家庭经济状况核定工作，保证社会救助制度公平公正实施，更好地保障城乡困难群众基本生活，根据国家和本市有关法规政策，结合本区实际，制定本细则。</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 xml:space="preserve">第二条 </w:t>
      </w:r>
      <w:r>
        <w:rPr>
          <w:rFonts w:hint="eastAsia" w:ascii="仿宋" w:hAnsi="仿宋" w:eastAsia="仿宋"/>
          <w:color w:val="auto"/>
          <w:kern w:val="0"/>
          <w:sz w:val="32"/>
          <w:szCs w:val="32"/>
          <w:highlight w:val="none"/>
          <w:u w:val="none"/>
        </w:rPr>
        <w:t>本细则适用于向民政部门、乡镇人民政府（街道办事处）申请社会救助，需做家庭经济状况认定的，包括最低生活保障、特困人员供养、最低生活保障边缘家庭救助、临时救助、专项救助等，“救急难”事项除外。</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第三条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本细则所指的家庭经济状况指共同生活家庭成员拥有的家庭收入、财产和支出状况。</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第四条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本细则所称的核定是指社会救助管理部门根据信息核对和实地调查等方式，对社会救助家庭申报的家庭基本情况和经济状况进行确定的活动。</w:t>
      </w:r>
    </w:p>
    <w:p>
      <w:pPr>
        <w:widowControl/>
        <w:wordWrap w:val="0"/>
        <w:spacing w:line="560" w:lineRule="exact"/>
        <w:ind w:firstLine="640" w:firstLineChars="200"/>
        <w:rPr>
          <w:rFonts w:ascii="黑体" w:hAnsi="黑体" w:eastAsia="黑体"/>
          <w:color w:val="auto"/>
          <w:kern w:val="0"/>
          <w:sz w:val="32"/>
          <w:szCs w:val="32"/>
          <w:highlight w:val="none"/>
          <w:u w:val="none"/>
        </w:rPr>
      </w:pPr>
    </w:p>
    <w:p>
      <w:pPr>
        <w:widowControl/>
        <w:spacing w:line="560" w:lineRule="exact"/>
        <w:jc w:val="center"/>
        <w:rPr>
          <w:rFonts w:ascii="黑体" w:hAnsi="黑体" w:eastAsia="黑体"/>
          <w:bCs/>
          <w:color w:val="auto"/>
          <w:kern w:val="0"/>
          <w:sz w:val="32"/>
          <w:szCs w:val="32"/>
          <w:highlight w:val="none"/>
          <w:u w:val="none"/>
        </w:rPr>
      </w:pPr>
      <w:r>
        <w:rPr>
          <w:rFonts w:hint="eastAsia" w:ascii="黑体" w:hAnsi="黑体" w:eastAsia="黑体"/>
          <w:bCs/>
          <w:color w:val="auto"/>
          <w:kern w:val="0"/>
          <w:sz w:val="32"/>
          <w:szCs w:val="32"/>
          <w:highlight w:val="none"/>
          <w:u w:val="none"/>
        </w:rPr>
        <w:t>第二章 家庭经济状况核定范围、标准</w:t>
      </w:r>
    </w:p>
    <w:p>
      <w:pPr>
        <w:widowControl/>
        <w:wordWrap w:val="0"/>
        <w:spacing w:line="560" w:lineRule="exact"/>
        <w:ind w:firstLine="640" w:firstLineChars="200"/>
        <w:rPr>
          <w:rFonts w:ascii="楷体" w:hAnsi="楷体" w:eastAsia="楷体" w:cs="楷体"/>
          <w:color w:val="auto"/>
          <w:kern w:val="0"/>
          <w:sz w:val="32"/>
          <w:szCs w:val="32"/>
          <w:highlight w:val="none"/>
          <w:u w:val="none"/>
        </w:rPr>
      </w:pP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第五条</w:t>
      </w:r>
      <w:r>
        <w:rPr>
          <w:rFonts w:hint="eastAsia" w:ascii="黑体" w:hAnsi="黑体" w:eastAsia="黑体" w:cs="宋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家庭收入是指申请人及其共同生活的家庭成员在一定期限内拥有的全部可支配收入，主要包括扣除缴纳的个人所得税及缴纳的社会保障性支出</w:t>
      </w:r>
      <w:r>
        <w:rPr>
          <w:rFonts w:hint="eastAsia" w:ascii="仿宋" w:hAnsi="仿宋" w:eastAsia="仿宋"/>
          <w:color w:val="auto"/>
          <w:kern w:val="0"/>
          <w:sz w:val="32"/>
          <w:szCs w:val="32"/>
          <w:highlight w:val="none"/>
          <w:u w:val="none"/>
          <w:lang w:eastAsia="zh-CN"/>
        </w:rPr>
        <w:t>后</w:t>
      </w:r>
      <w:r>
        <w:rPr>
          <w:rFonts w:hint="eastAsia" w:ascii="仿宋" w:hAnsi="仿宋" w:eastAsia="仿宋"/>
          <w:color w:val="auto"/>
          <w:kern w:val="0"/>
          <w:sz w:val="32"/>
          <w:szCs w:val="32"/>
          <w:highlight w:val="none"/>
          <w:u w:val="none"/>
        </w:rPr>
        <w:t>的工资性收入、经营性收入、财产性收入和转移性收入等。核算按照以下规定执行：</w:t>
      </w:r>
    </w:p>
    <w:p>
      <w:pPr>
        <w:widowControl/>
        <w:wordWrap w:val="0"/>
        <w:spacing w:line="560" w:lineRule="exact"/>
        <w:ind w:firstLine="640" w:firstLineChars="200"/>
        <w:rPr>
          <w:rFonts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rPr>
        <w:t>（一）申请社会救助的家庭收入，一般按申请之日起前</w:t>
      </w:r>
      <w:r>
        <w:rPr>
          <w:rFonts w:ascii="Times New Roman" w:hAnsi="Times New Roman" w:eastAsia="仿宋" w:cs="Times New Roman"/>
          <w:color w:val="auto"/>
          <w:kern w:val="0"/>
          <w:sz w:val="32"/>
          <w:szCs w:val="32"/>
          <w:highlight w:val="none"/>
          <w:u w:val="none"/>
        </w:rPr>
        <w:t>12</w:t>
      </w:r>
      <w:r>
        <w:rPr>
          <w:rFonts w:hint="eastAsia" w:ascii="仿宋" w:hAnsi="仿宋" w:eastAsia="仿宋" w:cs="仿宋"/>
          <w:color w:val="auto"/>
          <w:kern w:val="0"/>
          <w:sz w:val="32"/>
          <w:szCs w:val="32"/>
          <w:highlight w:val="none"/>
          <w:u w:val="none"/>
        </w:rPr>
        <w:t>个月的家庭可支配收入总和计算。</w:t>
      </w:r>
      <w:r>
        <w:rPr>
          <w:rFonts w:hint="eastAsia" w:ascii="仿宋" w:hAnsi="仿宋" w:eastAsia="仿宋"/>
          <w:color w:val="auto"/>
          <w:kern w:val="0"/>
          <w:sz w:val="32"/>
          <w:szCs w:val="32"/>
          <w:highlight w:val="none"/>
          <w:u w:val="none"/>
          <w:lang w:eastAsia="zh-CN"/>
        </w:rPr>
        <w:t>申请家庭成员中因离异、退休或离职（指无稳定收入的）导致收入无法连续计算的，可依据本人提供的婚姻、从业变化后申请当月实际月收入情况，并结合家庭财产情况进行综合判断。家庭成员不能提供实际收入证明的，按照《细则》第八条有关要求核定。</w:t>
      </w:r>
      <w:r>
        <w:rPr>
          <w:rFonts w:hint="eastAsia" w:ascii="仿宋" w:hAnsi="仿宋" w:eastAsia="仿宋" w:cs="仿宋"/>
          <w:color w:val="auto"/>
          <w:kern w:val="0"/>
          <w:sz w:val="32"/>
          <w:szCs w:val="32"/>
          <w:highlight w:val="none"/>
          <w:u w:val="none"/>
        </w:rPr>
        <w:t>其他专项社会救助有特别规定的，按特别规定执行。</w:t>
      </w:r>
    </w:p>
    <w:p>
      <w:pPr>
        <w:widowControl/>
        <w:wordWrap w:val="0"/>
        <w:spacing w:line="560" w:lineRule="exact"/>
        <w:ind w:firstLine="640" w:firstLineChars="200"/>
        <w:rPr>
          <w:rFonts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rPr>
        <w:t>（二）申请救助家庭的经济状况核定依据个人提供的收入、财产和支出证明以及家庭经济核对系统平台的核对结果和入户调查结果。</w:t>
      </w:r>
      <w:r>
        <w:rPr>
          <w:rFonts w:hint="eastAsia" w:ascii="仿宋" w:hAnsi="仿宋" w:eastAsia="仿宋"/>
          <w:color w:val="auto"/>
          <w:kern w:val="0"/>
          <w:sz w:val="32"/>
          <w:szCs w:val="32"/>
          <w:highlight w:val="none"/>
          <w:u w:val="none"/>
        </w:rPr>
        <w:t>国家机关工作人员、企事业单位和社会组织员工、现役军官、士官等在职人员（以下简称在职人员），需提供工资条或银行工资流水和单位出具的收入证明；灵活就业人员需提供工资条或银行工资流水或单位出具的收入证明。</w:t>
      </w:r>
      <w:r>
        <w:rPr>
          <w:rFonts w:hint="eastAsia" w:ascii="仿宋" w:hAnsi="仿宋" w:eastAsia="仿宋" w:cs="仿宋"/>
          <w:color w:val="auto"/>
          <w:kern w:val="0"/>
          <w:sz w:val="32"/>
          <w:szCs w:val="32"/>
          <w:highlight w:val="none"/>
          <w:u w:val="none"/>
        </w:rPr>
        <w:t>同一收入事项的信息存在差异的，主要依据家庭经济状况核对系统信息查询结果按就高原则进行推算，申报收入高于推算的，以申报为准。申请人对同一收入事项的信息存在异议的，申请人应提交相应佐证材料，由社会救助受理部门通过调查、核实，并综合印证后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第六条</w:t>
      </w:r>
      <w:r>
        <w:rPr>
          <w:rFonts w:hint="eastAsia" w:ascii="仿宋" w:hAnsi="仿宋" w:eastAsia="仿宋"/>
          <w:color w:val="auto"/>
          <w:kern w:val="0"/>
          <w:sz w:val="32"/>
          <w:szCs w:val="32"/>
          <w:highlight w:val="none"/>
          <w:u w:val="none"/>
        </w:rPr>
        <w:t xml:space="preserve"> 应当计入家庭收入的项目包括：</w:t>
      </w:r>
    </w:p>
    <w:p>
      <w:pPr>
        <w:widowControl/>
        <w:wordWrap w:val="0"/>
        <w:spacing w:line="560" w:lineRule="exact"/>
        <w:ind w:firstLine="640" w:firstLineChars="200"/>
        <w:rPr>
          <w:rFonts w:hint="eastAsia" w:ascii="仿宋" w:hAnsi="仿宋" w:eastAsia="仿宋"/>
          <w:color w:val="auto"/>
          <w:kern w:val="0"/>
          <w:sz w:val="32"/>
          <w:szCs w:val="32"/>
          <w:highlight w:val="none"/>
          <w:u w:val="none"/>
          <w:lang w:val="en-US" w:eastAsia="zh-CN"/>
        </w:rPr>
      </w:pPr>
      <w:r>
        <w:rPr>
          <w:rFonts w:hint="eastAsia" w:ascii="仿宋" w:hAnsi="仿宋" w:eastAsia="仿宋"/>
          <w:color w:val="auto"/>
          <w:kern w:val="0"/>
          <w:sz w:val="32"/>
          <w:szCs w:val="32"/>
          <w:highlight w:val="none"/>
          <w:u w:val="none"/>
        </w:rPr>
        <w:t>（一）工资性收入。工资性收入指就业人员通过各种途径得到的全部劳动报酬和各种福利并</w:t>
      </w:r>
      <w:r>
        <w:rPr>
          <w:rFonts w:hint="eastAsia" w:ascii="仿宋" w:hAnsi="仿宋" w:eastAsia="仿宋"/>
          <w:bCs/>
          <w:color w:val="auto"/>
          <w:kern w:val="0"/>
          <w:sz w:val="32"/>
          <w:szCs w:val="32"/>
          <w:highlight w:val="none"/>
          <w:u w:val="none"/>
        </w:rPr>
        <w:t>扣除必要的就业成本，</w:t>
      </w:r>
      <w:r>
        <w:rPr>
          <w:rFonts w:hint="eastAsia" w:ascii="仿宋" w:hAnsi="仿宋" w:eastAsia="仿宋"/>
          <w:color w:val="auto"/>
          <w:kern w:val="0"/>
          <w:sz w:val="32"/>
          <w:szCs w:val="32"/>
          <w:highlight w:val="none"/>
          <w:u w:val="none"/>
        </w:rPr>
        <w:t>包括因任职或者受雇而取得的工资、薪金、奖金、劳动分红、津贴、补贴以及与任职或者受雇有关的其他所得等。其中，必要的就业成本是指因就业带来的交通、就餐、通信等必要的支出</w:t>
      </w:r>
      <w:r>
        <w:rPr>
          <w:rFonts w:hint="eastAsia" w:ascii="仿宋" w:hAnsi="仿宋" w:eastAsia="仿宋"/>
          <w:color w:val="auto"/>
          <w:kern w:val="0"/>
          <w:sz w:val="32"/>
          <w:szCs w:val="32"/>
          <w:highlight w:val="none"/>
          <w:u w:val="none"/>
          <w:lang w:eastAsia="zh-CN"/>
        </w:rPr>
        <w:t>。对于社会救助家庭成员就业的，可参照本《细则》第十条有关内容，对于首次就业的进行就业成本扣除。</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财产净收入。财产净收入指出让动产和不动产，或将动产和不动产交由其他机构、单位或个人使用并扣除相关费用之后得到的收入，包括储蓄存款利息、理财产品增值、有价证券红利、储蓄性保险投资以及其他股息和红利等收入，集体受益分配和其它动产收入，以及流转承包土地经营权，以及转租承包土地经营权、出租或者出让房产以及其他不动产收入等。</w:t>
      </w:r>
    </w:p>
    <w:p>
      <w:pPr>
        <w:widowControl/>
        <w:wordWrap w:val="0"/>
        <w:spacing w:line="560" w:lineRule="exact"/>
        <w:ind w:firstLine="640" w:firstLineChars="200"/>
        <w:rPr>
          <w:rFonts w:ascii="Times New Roman" w:hAnsi="Times New Roman"/>
          <w:color w:val="auto"/>
          <w:kern w:val="0"/>
          <w:szCs w:val="21"/>
          <w:highlight w:val="none"/>
          <w:u w:val="none"/>
        </w:rPr>
      </w:pPr>
      <w:r>
        <w:rPr>
          <w:rFonts w:hint="eastAsia" w:ascii="仿宋" w:hAnsi="仿宋" w:eastAsia="仿宋"/>
          <w:color w:val="auto"/>
          <w:kern w:val="0"/>
          <w:sz w:val="32"/>
          <w:szCs w:val="32"/>
          <w:highlight w:val="none"/>
          <w:u w:val="none"/>
        </w:rPr>
        <w:t>（四）转移净收入。转移净收入指转移性收入扣减转移性支出之后的收入。其中，转移性收入指国家、机关企事业单位、社会组织对居民的各种经常性转移支付和居民之间的经常性收入转移，包括赡养（抚养、扶养）费、离退休金（养老保险金）、失业保险金、遗属补助金、人身伤害赔偿中的生活补助费、接受捐赠（赠送）收入、村集体福利金等；转移性支出指居民对国家、企事业单位、社会组织、居民的经常性转移支出，包括缴纳的税款、各项社会保障支出、赡养（抚养、扶养）支出以及其他经常性转移支出等。</w:t>
      </w:r>
    </w:p>
    <w:p>
      <w:pPr>
        <w:widowControl/>
        <w:wordWrap w:val="0"/>
        <w:spacing w:line="560" w:lineRule="exact"/>
        <w:ind w:firstLine="640" w:firstLineChars="200"/>
        <w:rPr>
          <w:rFonts w:ascii="Times New Roman" w:hAnsi="Times New Roman"/>
          <w:color w:val="auto"/>
          <w:kern w:val="0"/>
          <w:szCs w:val="21"/>
          <w:highlight w:val="none"/>
          <w:u w:val="none"/>
        </w:rPr>
      </w:pPr>
      <w:r>
        <w:rPr>
          <w:rFonts w:hint="eastAsia" w:ascii="楷体" w:hAnsi="楷体" w:eastAsia="楷体" w:cs="楷体"/>
          <w:color w:val="auto"/>
          <w:kern w:val="0"/>
          <w:sz w:val="32"/>
          <w:szCs w:val="32"/>
          <w:highlight w:val="none"/>
          <w:u w:val="none"/>
        </w:rPr>
        <w:t>第七条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下列收入不计入家庭收入：</w:t>
      </w:r>
    </w:p>
    <w:p>
      <w:pPr>
        <w:widowControl/>
        <w:wordWrap w:val="0"/>
        <w:spacing w:line="62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享受国家定期抚恤补助的优抚对象（以下简称优抚对象）及政府给予特殊照顾的其他人员所享受的抚恤及特殊照顾待遇。包括优抚对象依法享受的抚恤金、补助金、优待和护理费等。以及工伤职工伤残津贴、工亡人员供养亲属抚恤金、优待金；建国前入党的农村老党员、老游击队员、老交通员的定期补助、义务兵津贴和军队院校供给制学员津贴</w:t>
      </w:r>
      <w:r>
        <w:rPr>
          <w:rFonts w:hint="eastAsia" w:ascii="仿宋" w:hAnsi="仿宋" w:eastAsia="仿宋"/>
          <w:color w:val="auto"/>
          <w:kern w:val="0"/>
          <w:sz w:val="32"/>
          <w:szCs w:val="32"/>
          <w:highlight w:val="none"/>
          <w:u w:val="none"/>
          <w:lang w:eastAsia="zh-CN"/>
        </w:rPr>
        <w:t>、</w:t>
      </w:r>
      <w:r>
        <w:rPr>
          <w:rFonts w:hint="eastAsia" w:ascii="仿宋" w:hAnsi="仿宋" w:eastAsia="仿宋"/>
          <w:color w:val="auto"/>
          <w:kern w:val="0"/>
          <w:sz w:val="32"/>
          <w:szCs w:val="32"/>
          <w:highlight w:val="none"/>
          <w:u w:val="none"/>
        </w:rPr>
        <w:t>部队就业补贴等。</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政府及有关部门、单位发放的非报酬性奖励。主要包括劳动模范荣誉津贴、科技成果奖、奖学金、见义勇为奖金、独生子女父母奖励费、计划生育失独家庭获得的一次性救助金、特别扶助金、综合保障保险金等。各级党委政府、工青妇组织的困难帮扶慰问款，因病、因灾、因学困难而得到政府救济款和社会捐赠款中用于治病支出、住房修复、学业开支部分。</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政府及有关部门、单位给予的有特定用途的补助资金。主要包括因公（工）负伤人员的公（工）伤医疗费、护理费、一次性伤残补助金、残疾辅助器具费，丧葬（补助）费，一次性工亡补助金、工伤医疗补助金、伤残就业补助金，人身伤害赔偿中生活补助费以外的部分，在校学生获得的助学金、困难补助，中央确定的城乡居民基本养老保险基础养老金（“十四五”期间），住房保障租赁补贴，无收入老年人生活补助，困难老年人居家养老服务（护理）补贴、残疾人各类补贴等，原唯一住房被征收（拆迁）获得的安置补偿款本金（直至新建或新购房止），原唯一住房被征收（拆迁）后政府给予的租房费。</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w:t>
      </w:r>
      <w:r>
        <w:rPr>
          <w:rFonts w:hint="eastAsia" w:ascii="楷体" w:hAnsi="楷体" w:eastAsia="楷体" w:cs="楷体"/>
          <w:color w:val="auto"/>
          <w:kern w:val="0"/>
          <w:sz w:val="32"/>
          <w:szCs w:val="32"/>
          <w:highlight w:val="none"/>
          <w:u w:val="none"/>
          <w:lang w:eastAsia="zh-CN"/>
        </w:rPr>
        <w:t>八</w:t>
      </w:r>
      <w:r>
        <w:rPr>
          <w:rFonts w:hint="eastAsia" w:ascii="楷体" w:hAnsi="楷体" w:eastAsia="楷体" w:cs="楷体"/>
          <w:color w:val="auto"/>
          <w:kern w:val="0"/>
          <w:sz w:val="32"/>
          <w:szCs w:val="32"/>
          <w:highlight w:val="none"/>
          <w:u w:val="none"/>
        </w:rPr>
        <w:t>条</w:t>
      </w:r>
      <w:r>
        <w:rPr>
          <w:rFonts w:hint="eastAsia" w:ascii="仿宋" w:hAnsi="仿宋" w:eastAsia="仿宋"/>
          <w:color w:val="auto"/>
          <w:kern w:val="0"/>
          <w:sz w:val="32"/>
          <w:szCs w:val="32"/>
          <w:highlight w:val="none"/>
          <w:u w:val="none"/>
        </w:rPr>
        <w:t xml:space="preserve"> 工资性收入按照以下标准核定：</w:t>
      </w:r>
    </w:p>
    <w:p>
      <w:pPr>
        <w:ind w:firstLine="645"/>
        <w:rPr>
          <w:rFonts w:ascii="仿宋" w:hAnsi="仿宋" w:eastAsia="仿宋"/>
          <w:b/>
          <w:color w:val="auto"/>
          <w:sz w:val="32"/>
          <w:szCs w:val="32"/>
          <w:highlight w:val="none"/>
          <w:u w:val="none"/>
        </w:rPr>
      </w:pPr>
      <w:r>
        <w:rPr>
          <w:rFonts w:hint="eastAsia" w:ascii="仿宋" w:hAnsi="仿宋" w:eastAsia="仿宋"/>
          <w:color w:val="auto"/>
          <w:kern w:val="0"/>
          <w:sz w:val="32"/>
          <w:szCs w:val="32"/>
          <w:highlight w:val="none"/>
          <w:u w:val="none"/>
        </w:rPr>
        <w:t>（一）家庭成员工资性收入主要依据家庭经济状况核对系统信息查询结果，用人单位出具的相关凭证或银行发放记录计算收入，也可通过调查就业和劳动报酬以及住房公积金、社会保险、个人所得税查询或扣缴单位提供的个人所得税情况进行认定；对具备劳动能力且家庭经济状况核对系统信息平台无法获取收入信息的在职人员，其收入核定不得低于本市最低工资标准。</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（二）男</w:t>
      </w:r>
      <w:r>
        <w:rPr>
          <w:rFonts w:ascii="Times New Roman" w:hAnsi="Times New Roman" w:eastAsia="仿宋" w:cs="Times New Roman"/>
          <w:color w:val="auto"/>
          <w:kern w:val="0"/>
          <w:sz w:val="32"/>
          <w:szCs w:val="32"/>
          <w:highlight w:val="none"/>
          <w:u w:val="none"/>
        </w:rPr>
        <w:t>55</w:t>
      </w:r>
      <w:r>
        <w:rPr>
          <w:rFonts w:hint="eastAsia" w:ascii="仿宋" w:hAnsi="仿宋" w:eastAsia="仿宋"/>
          <w:color w:val="auto"/>
          <w:kern w:val="0"/>
          <w:sz w:val="32"/>
          <w:szCs w:val="32"/>
          <w:highlight w:val="none"/>
          <w:u w:val="none"/>
        </w:rPr>
        <w:t>周岁（不含）、女</w:t>
      </w:r>
      <w:r>
        <w:rPr>
          <w:rFonts w:ascii="Times New Roman" w:hAnsi="Times New Roman" w:eastAsia="仿宋" w:cs="Times New Roman"/>
          <w:color w:val="auto"/>
          <w:kern w:val="0"/>
          <w:sz w:val="32"/>
          <w:szCs w:val="32"/>
          <w:highlight w:val="none"/>
          <w:u w:val="none"/>
        </w:rPr>
        <w:t>45</w:t>
      </w:r>
      <w:r>
        <w:rPr>
          <w:rFonts w:hint="eastAsia" w:ascii="仿宋" w:hAnsi="仿宋" w:eastAsia="仿宋"/>
          <w:color w:val="auto"/>
          <w:kern w:val="0"/>
          <w:sz w:val="32"/>
          <w:szCs w:val="32"/>
          <w:highlight w:val="none"/>
          <w:u w:val="none"/>
        </w:rPr>
        <w:t>周岁（不含）以下，具备劳动能力的非在职人员，其收入核定不得低于本市最低工资标准的</w:t>
      </w:r>
      <w:r>
        <w:rPr>
          <w:rFonts w:ascii="Times New Roman" w:hAnsi="Times New Roman" w:eastAsia="仿宋" w:cs="Times New Roman"/>
          <w:color w:val="auto"/>
          <w:kern w:val="0"/>
          <w:sz w:val="32"/>
          <w:szCs w:val="32"/>
          <w:highlight w:val="none"/>
          <w:u w:val="none"/>
        </w:rPr>
        <w:t>90%</w:t>
      </w:r>
      <w:r>
        <w:rPr>
          <w:rFonts w:hint="eastAsia" w:ascii="Times New Roman" w:hAnsi="Times New Roman" w:eastAsia="仿宋" w:cs="Times New Roman"/>
          <w:color w:val="auto"/>
          <w:kern w:val="0"/>
          <w:sz w:val="32"/>
          <w:szCs w:val="32"/>
          <w:highlight w:val="none"/>
          <w:u w:val="none"/>
        </w:rPr>
        <w:t>。</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（三）对男</w:t>
      </w:r>
      <w:r>
        <w:rPr>
          <w:rFonts w:hint="eastAsia" w:ascii="Times New Roman" w:hAnsi="Times New Roman" w:eastAsia="仿宋"/>
          <w:color w:val="auto"/>
          <w:kern w:val="0"/>
          <w:sz w:val="32"/>
          <w:szCs w:val="32"/>
          <w:highlight w:val="none"/>
          <w:u w:val="none"/>
        </w:rPr>
        <w:t>55</w:t>
      </w:r>
      <w:r>
        <w:rPr>
          <w:rFonts w:hint="eastAsia" w:ascii="仿宋" w:hAnsi="仿宋" w:eastAsia="仿宋"/>
          <w:color w:val="auto"/>
          <w:kern w:val="0"/>
          <w:sz w:val="32"/>
          <w:szCs w:val="32"/>
          <w:highlight w:val="none"/>
          <w:u w:val="none"/>
        </w:rPr>
        <w:t>周岁（含）、女</w:t>
      </w:r>
      <w:r>
        <w:rPr>
          <w:rFonts w:hint="eastAsia" w:ascii="Times New Roman" w:hAnsi="Times New Roman" w:eastAsia="仿宋"/>
          <w:color w:val="auto"/>
          <w:kern w:val="0"/>
          <w:sz w:val="32"/>
          <w:szCs w:val="32"/>
          <w:highlight w:val="none"/>
          <w:u w:val="none"/>
        </w:rPr>
        <w:t>45</w:t>
      </w:r>
      <w:r>
        <w:rPr>
          <w:rFonts w:hint="eastAsia" w:ascii="仿宋" w:hAnsi="仿宋" w:eastAsia="仿宋"/>
          <w:color w:val="auto"/>
          <w:kern w:val="0"/>
          <w:sz w:val="32"/>
          <w:szCs w:val="32"/>
          <w:highlight w:val="none"/>
          <w:u w:val="none"/>
        </w:rPr>
        <w:t>周岁（含）以上，具备劳动能力的非在职人员，其收入核定不低于我市最低生活保障标准。</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（四）在法定劳动年龄年内，部分丧失劳动能力人员的非在职人员，其收入核定不得低于最低生活保障标准的</w:t>
      </w:r>
      <w:r>
        <w:rPr>
          <w:rFonts w:hint="eastAsia" w:ascii="Times New Roman" w:hAnsi="Times New Roman" w:eastAsia="仿宋"/>
          <w:color w:val="auto"/>
          <w:kern w:val="0"/>
          <w:sz w:val="32"/>
          <w:szCs w:val="32"/>
          <w:highlight w:val="none"/>
          <w:u w:val="none"/>
        </w:rPr>
        <w:t>60%。</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（五）全日制在校学生大学本科以下（含）不计算本人收入，全日制硕士研究生据实核定收入。</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除上述人员外，一律据实核定本人工资性收入。</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olor w:val="auto"/>
          <w:kern w:val="0"/>
          <w:sz w:val="32"/>
          <w:szCs w:val="32"/>
          <w:highlight w:val="none"/>
          <w:u w:val="none"/>
        </w:rPr>
        <w:t>第</w:t>
      </w:r>
      <w:r>
        <w:rPr>
          <w:rFonts w:hint="eastAsia" w:ascii="楷体" w:hAnsi="楷体" w:eastAsia="楷体"/>
          <w:color w:val="auto"/>
          <w:kern w:val="0"/>
          <w:sz w:val="32"/>
          <w:szCs w:val="32"/>
          <w:highlight w:val="none"/>
          <w:u w:val="none"/>
          <w:lang w:eastAsia="zh-CN"/>
        </w:rPr>
        <w:t>九</w:t>
      </w:r>
      <w:r>
        <w:rPr>
          <w:rFonts w:hint="eastAsia" w:ascii="楷体" w:hAnsi="楷体" w:eastAsia="楷体"/>
          <w:color w:val="auto"/>
          <w:kern w:val="0"/>
          <w:sz w:val="32"/>
          <w:szCs w:val="32"/>
          <w:highlight w:val="none"/>
          <w:u w:val="none"/>
        </w:rPr>
        <w:t xml:space="preserve">条 </w:t>
      </w:r>
      <w:r>
        <w:rPr>
          <w:rFonts w:hint="eastAsia" w:ascii="仿宋" w:hAnsi="仿宋" w:eastAsia="仿宋"/>
          <w:color w:val="auto"/>
          <w:kern w:val="0"/>
          <w:sz w:val="32"/>
          <w:szCs w:val="32"/>
          <w:highlight w:val="none"/>
          <w:u w:val="none"/>
        </w:rPr>
        <w:t>在法定劳动年龄年内，丧失劳动能力人员应提供</w:t>
      </w:r>
      <w:r>
        <w:rPr>
          <w:rFonts w:hint="eastAsia" w:ascii="仿宋" w:hAnsi="仿宋" w:eastAsia="仿宋"/>
          <w:color w:val="auto"/>
          <w:kern w:val="0"/>
          <w:sz w:val="32"/>
          <w:szCs w:val="32"/>
          <w:highlight w:val="none"/>
          <w:u w:val="none"/>
          <w:lang w:eastAsia="zh-CN"/>
        </w:rPr>
        <w:t>区</w:t>
      </w:r>
      <w:r>
        <w:rPr>
          <w:rFonts w:hint="eastAsia" w:ascii="仿宋" w:hAnsi="仿宋" w:eastAsia="仿宋"/>
          <w:color w:val="auto"/>
          <w:kern w:val="0"/>
          <w:sz w:val="32"/>
          <w:szCs w:val="32"/>
          <w:highlight w:val="none"/>
          <w:u w:val="none"/>
        </w:rPr>
        <w:t>劳动能力鉴定机构出具的鉴定、残联出具</w:t>
      </w:r>
      <w:r>
        <w:rPr>
          <w:rFonts w:hint="eastAsia" w:ascii="仿宋" w:hAnsi="仿宋" w:eastAsia="仿宋"/>
          <w:color w:val="auto"/>
          <w:kern w:val="0"/>
          <w:sz w:val="32"/>
          <w:szCs w:val="32"/>
          <w:highlight w:val="none"/>
          <w:u w:val="none"/>
          <w:lang w:eastAsia="zh-CN"/>
        </w:rPr>
        <w:t>的</w:t>
      </w:r>
      <w:r>
        <w:rPr>
          <w:rFonts w:hint="eastAsia" w:ascii="仿宋" w:hAnsi="仿宋" w:eastAsia="仿宋"/>
          <w:color w:val="auto"/>
          <w:kern w:val="0"/>
          <w:sz w:val="32"/>
          <w:szCs w:val="32"/>
          <w:highlight w:val="none"/>
          <w:u w:val="none"/>
        </w:rPr>
        <w:t>残疾证</w:t>
      </w:r>
      <w:r>
        <w:rPr>
          <w:rFonts w:hint="eastAsia" w:ascii="仿宋" w:hAnsi="仿宋" w:eastAsia="仿宋"/>
          <w:color w:val="auto"/>
          <w:kern w:val="0"/>
          <w:sz w:val="32"/>
          <w:szCs w:val="32"/>
          <w:highlight w:val="none"/>
          <w:u w:val="none"/>
          <w:lang w:eastAsia="zh-CN"/>
        </w:rPr>
        <w:t>或二级甲等以上医院出具的诊断证明和病历资料。丧失劳动能力档次的认定根据所提供的材料</w:t>
      </w:r>
      <w:r>
        <w:rPr>
          <w:rFonts w:hint="eastAsia" w:ascii="仿宋" w:hAnsi="仿宋" w:eastAsia="仿宋"/>
          <w:color w:val="auto"/>
          <w:kern w:val="0"/>
          <w:sz w:val="32"/>
          <w:szCs w:val="32"/>
          <w:highlight w:val="none"/>
          <w:u w:val="none"/>
        </w:rPr>
        <w:t>，按以下标准认定：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（一）符合下列情形之一的，认定为完全丧失劳动能力</w:t>
      </w:r>
      <w:r>
        <w:rPr>
          <w:rFonts w:hint="eastAsia" w:ascii="仿宋" w:hAnsi="仿宋" w:eastAsia="仿宋"/>
          <w:color w:val="auto"/>
          <w:kern w:val="0"/>
          <w:sz w:val="32"/>
          <w:szCs w:val="32"/>
          <w:highlight w:val="none"/>
          <w:u w:val="none"/>
          <w:lang w:eastAsia="zh-CN"/>
        </w:rPr>
        <w:t>，据实核定收入</w:t>
      </w:r>
      <w:r>
        <w:rPr>
          <w:rFonts w:hint="eastAsia" w:ascii="仿宋" w:hAnsi="仿宋" w:eastAsia="仿宋"/>
          <w:color w:val="auto"/>
          <w:kern w:val="0"/>
          <w:sz w:val="32"/>
          <w:szCs w:val="32"/>
          <w:highlight w:val="none"/>
          <w:u w:val="none"/>
        </w:rPr>
        <w:t>：</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1. 60周岁以上的老年人或未满16周岁的未成年人；</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2. 残疾类别为视力、肢体、多重残疾且残疾等级为一、二级的人员；残疾类别为智力、精神残疾且残疾等级为一、二、三级的人员；</w:t>
      </w:r>
    </w:p>
    <w:p>
      <w:pPr>
        <w:widowControl/>
        <w:wordWrap w:val="0"/>
        <w:spacing w:line="560" w:lineRule="exact"/>
        <w:ind w:firstLine="640" w:firstLineChars="200"/>
        <w:rPr>
          <w:rFonts w:hint="eastAsia"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3. 符合分类救助政策中重病抵扣家庭收入1000元和1500元档次的人员，上述病种认定随本市分类救助政策变化随时调整。</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（二）符合下列情形之一的，认定为部分丧失劳动能力：</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1. 残疾类别为听力、言语残疾且残疾等级为一、二级的人员；</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2. 残疾类别为视力、肢体、多重残疾且残疾等级为三、四级的人员及残疾类别为精神、智力且残疾等级为四级的人员；</w:t>
      </w:r>
    </w:p>
    <w:p>
      <w:pPr>
        <w:widowControl/>
        <w:wordWrap w:val="0"/>
        <w:spacing w:line="560" w:lineRule="exact"/>
        <w:ind w:firstLine="640" w:firstLineChars="200"/>
        <w:rPr>
          <w:rFonts w:hint="eastAsia"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3. 符合分类救助政策中重病抵扣家庭收入500元档次的人员，上述病种认定随本市分类救助政策变化随时调整。</w:t>
      </w:r>
    </w:p>
    <w:p>
      <w:pPr>
        <w:widowControl/>
        <w:wordWrap w:val="0"/>
        <w:spacing w:line="560" w:lineRule="exact"/>
        <w:ind w:firstLine="640" w:firstLineChars="200"/>
        <w:rPr>
          <w:rFonts w:hint="eastAsia" w:ascii="仿宋" w:hAnsi="仿宋" w:eastAsia="仿宋"/>
          <w:color w:val="auto"/>
          <w:kern w:val="0"/>
          <w:sz w:val="32"/>
          <w:szCs w:val="32"/>
          <w:highlight w:val="none"/>
          <w:u w:val="none"/>
          <w:lang w:eastAsia="zh-CN"/>
        </w:rPr>
      </w:pPr>
      <w:r>
        <w:rPr>
          <w:rFonts w:hint="eastAsia" w:ascii="仿宋" w:hAnsi="仿宋" w:eastAsia="仿宋"/>
          <w:color w:val="auto"/>
          <w:kern w:val="0"/>
          <w:sz w:val="32"/>
          <w:szCs w:val="32"/>
          <w:highlight w:val="none"/>
          <w:u w:val="none"/>
          <w:lang w:eastAsia="zh-CN"/>
        </w:rPr>
        <w:t>（三）</w:t>
      </w:r>
      <w:r>
        <w:rPr>
          <w:rFonts w:hint="eastAsia" w:ascii="仿宋" w:hAnsi="仿宋" w:eastAsia="仿宋"/>
          <w:color w:val="auto"/>
          <w:kern w:val="0"/>
          <w:sz w:val="32"/>
          <w:szCs w:val="32"/>
          <w:highlight w:val="none"/>
          <w:u w:val="none"/>
          <w:lang w:val="en-US" w:eastAsia="zh-CN"/>
        </w:rPr>
        <w:t>对无法提供上诉材料的特殊情形人员，由街镇进行调查核实且委托有资质的专业评估机构出具评估报告认定申请人丧失劳动能力情况，并上报至街镇社会救助联席会议进行确认，评估费用由申请人承担。</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第十条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最低生活保障家庭成员就业后家庭人均收入超过本市最低生活保障标准的，可给予</w:t>
      </w:r>
      <w:r>
        <w:rPr>
          <w:rFonts w:hint="eastAsia" w:ascii="Times New Roman" w:hAnsi="Times New Roman" w:eastAsia="仿宋"/>
          <w:color w:val="auto"/>
          <w:kern w:val="0"/>
          <w:sz w:val="32"/>
          <w:szCs w:val="32"/>
          <w:highlight w:val="none"/>
          <w:u w:val="none"/>
        </w:rPr>
        <w:t>6个</w:t>
      </w:r>
      <w:r>
        <w:rPr>
          <w:rFonts w:hint="eastAsia" w:ascii="仿宋" w:hAnsi="仿宋" w:eastAsia="仿宋"/>
          <w:color w:val="auto"/>
          <w:kern w:val="0"/>
          <w:sz w:val="32"/>
          <w:szCs w:val="32"/>
          <w:highlight w:val="none"/>
          <w:u w:val="none"/>
        </w:rPr>
        <w:t>月的救助渐退期。渐退期间，前三个月按其家庭原领取最低生活保障金的</w:t>
      </w:r>
      <w:r>
        <w:rPr>
          <w:rFonts w:hint="eastAsia" w:ascii="Times New Roman" w:hAnsi="Times New Roman" w:eastAsia="仿宋"/>
          <w:color w:val="auto"/>
          <w:kern w:val="0"/>
          <w:sz w:val="32"/>
          <w:szCs w:val="32"/>
          <w:highlight w:val="none"/>
          <w:u w:val="none"/>
        </w:rPr>
        <w:t>100%发</w:t>
      </w:r>
      <w:r>
        <w:rPr>
          <w:rFonts w:hint="eastAsia" w:ascii="仿宋" w:hAnsi="仿宋" w:eastAsia="仿宋"/>
          <w:color w:val="auto"/>
          <w:kern w:val="0"/>
          <w:sz w:val="32"/>
          <w:szCs w:val="32"/>
          <w:highlight w:val="none"/>
          <w:u w:val="none"/>
        </w:rPr>
        <w:t>放,后三个月按</w:t>
      </w:r>
      <w:r>
        <w:rPr>
          <w:rFonts w:hint="eastAsia" w:ascii="Times New Roman" w:hAnsi="Times New Roman" w:eastAsia="仿宋"/>
          <w:color w:val="auto"/>
          <w:kern w:val="0"/>
          <w:sz w:val="32"/>
          <w:szCs w:val="32"/>
          <w:highlight w:val="none"/>
          <w:u w:val="none"/>
        </w:rPr>
        <w:t>50%发</w:t>
      </w:r>
      <w:r>
        <w:rPr>
          <w:rFonts w:hint="eastAsia" w:ascii="仿宋" w:hAnsi="仿宋" w:eastAsia="仿宋"/>
          <w:color w:val="auto"/>
          <w:kern w:val="0"/>
          <w:sz w:val="32"/>
          <w:szCs w:val="32"/>
          <w:highlight w:val="none"/>
          <w:u w:val="none"/>
        </w:rPr>
        <w:t>放。</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最低生活保障家庭成员已实现稳定就业（签订劳动合同并缴纳社会保险）的，自首次就业当月起</w:t>
      </w:r>
      <w:r>
        <w:rPr>
          <w:rFonts w:ascii="Times New Roman" w:hAnsi="Times New Roman" w:eastAsia="仿宋" w:cs="Times New Roman"/>
          <w:color w:val="auto"/>
          <w:kern w:val="0"/>
          <w:sz w:val="32"/>
          <w:szCs w:val="32"/>
          <w:highlight w:val="none"/>
          <w:u w:val="none"/>
        </w:rPr>
        <w:t>1</w:t>
      </w:r>
      <w:r>
        <w:rPr>
          <w:rFonts w:hint="eastAsia" w:ascii="仿宋" w:hAnsi="仿宋" w:eastAsia="仿宋"/>
          <w:color w:val="auto"/>
          <w:kern w:val="0"/>
          <w:sz w:val="32"/>
          <w:szCs w:val="32"/>
          <w:highlight w:val="none"/>
          <w:u w:val="none"/>
        </w:rPr>
        <w:t>年内，按就业收入的</w:t>
      </w:r>
      <w:r>
        <w:rPr>
          <w:rFonts w:ascii="Times New Roman" w:hAnsi="Times New Roman" w:eastAsia="仿宋" w:cs="Times New Roman"/>
          <w:color w:val="auto"/>
          <w:kern w:val="0"/>
          <w:sz w:val="32"/>
          <w:szCs w:val="32"/>
          <w:highlight w:val="none"/>
          <w:u w:val="none"/>
        </w:rPr>
        <w:t>15</w:t>
      </w:r>
      <w:r>
        <w:rPr>
          <w:rFonts w:hint="eastAsia" w:ascii="Times New Roman" w:hAnsi="Times New Roman" w:eastAsia="仿宋"/>
          <w:color w:val="auto"/>
          <w:kern w:val="0"/>
          <w:sz w:val="32"/>
          <w:szCs w:val="32"/>
          <w:highlight w:val="none"/>
          <w:u w:val="none"/>
        </w:rPr>
        <w:t>%</w:t>
      </w:r>
      <w:r>
        <w:rPr>
          <w:rFonts w:hint="eastAsia" w:ascii="仿宋" w:hAnsi="仿宋" w:eastAsia="仿宋"/>
          <w:color w:val="auto"/>
          <w:kern w:val="0"/>
          <w:sz w:val="32"/>
          <w:szCs w:val="32"/>
          <w:highlight w:val="none"/>
          <w:u w:val="none"/>
        </w:rPr>
        <w:t>扣减（单人每月可扣减就业成本最高不超过</w:t>
      </w:r>
      <w:r>
        <w:rPr>
          <w:rFonts w:ascii="Times New Roman" w:hAnsi="Times New Roman" w:eastAsia="仿宋" w:cs="Times New Roman"/>
          <w:color w:val="auto"/>
          <w:kern w:val="0"/>
          <w:sz w:val="32"/>
          <w:szCs w:val="32"/>
          <w:highlight w:val="none"/>
          <w:u w:val="none"/>
        </w:rPr>
        <w:t>600</w:t>
      </w:r>
      <w:r>
        <w:rPr>
          <w:rFonts w:hint="eastAsia" w:ascii="仿宋" w:hAnsi="仿宋" w:eastAsia="仿宋"/>
          <w:color w:val="auto"/>
          <w:kern w:val="0"/>
          <w:sz w:val="32"/>
          <w:szCs w:val="32"/>
          <w:highlight w:val="none"/>
          <w:u w:val="none"/>
        </w:rPr>
        <w:t>元）就业成本。</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bCs/>
          <w:color w:val="auto"/>
          <w:kern w:val="0"/>
          <w:sz w:val="32"/>
          <w:szCs w:val="32"/>
          <w:highlight w:val="none"/>
          <w:u w:val="none"/>
        </w:rPr>
        <w:t>第十</w:t>
      </w:r>
      <w:r>
        <w:rPr>
          <w:rFonts w:hint="eastAsia" w:ascii="楷体" w:hAnsi="楷体" w:eastAsia="楷体" w:cs="楷体"/>
          <w:bCs/>
          <w:color w:val="auto"/>
          <w:kern w:val="0"/>
          <w:sz w:val="32"/>
          <w:szCs w:val="32"/>
          <w:highlight w:val="none"/>
          <w:u w:val="none"/>
          <w:lang w:eastAsia="zh-CN"/>
        </w:rPr>
        <w:t>一</w:t>
      </w:r>
      <w:r>
        <w:rPr>
          <w:rFonts w:hint="eastAsia" w:ascii="楷体" w:hAnsi="楷体" w:eastAsia="楷体" w:cs="楷体"/>
          <w:bCs/>
          <w:color w:val="auto"/>
          <w:kern w:val="0"/>
          <w:sz w:val="32"/>
          <w:szCs w:val="32"/>
          <w:highlight w:val="none"/>
          <w:u w:val="none"/>
        </w:rPr>
        <w:t>条</w:t>
      </w:r>
      <w:r>
        <w:rPr>
          <w:rFonts w:hint="eastAsia" w:ascii="黑体" w:hAnsi="黑体" w:eastAsia="黑体"/>
          <w:b/>
          <w:color w:val="auto"/>
          <w:kern w:val="0"/>
          <w:sz w:val="32"/>
          <w:szCs w:val="32"/>
          <w:highlight w:val="none"/>
          <w:u w:val="none"/>
        </w:rPr>
        <w:t xml:space="preserve"> </w:t>
      </w:r>
      <w:r>
        <w:rPr>
          <w:rFonts w:hint="eastAsia" w:ascii="仿宋" w:hAnsi="仿宋" w:eastAsia="仿宋"/>
          <w:color w:val="auto"/>
          <w:kern w:val="0"/>
          <w:sz w:val="32"/>
          <w:szCs w:val="32"/>
          <w:highlight w:val="none"/>
          <w:u w:val="none"/>
        </w:rPr>
        <w:t>经营净收入按照以下标准核定：</w:t>
      </w:r>
    </w:p>
    <w:p>
      <w:pPr>
        <w:widowControl/>
        <w:wordWrap w:val="0"/>
        <w:spacing w:line="560" w:lineRule="exact"/>
        <w:ind w:firstLine="640" w:firstLineChars="200"/>
        <w:rPr>
          <w:rFonts w:ascii="仿宋" w:hAnsi="仿宋" w:eastAsia="仿宋" w:cs="楷体"/>
          <w:color w:val="auto"/>
          <w:kern w:val="0"/>
          <w:sz w:val="32"/>
          <w:szCs w:val="32"/>
          <w:highlight w:val="none"/>
          <w:u w:val="none"/>
        </w:rPr>
      </w:pPr>
      <w:r>
        <w:rPr>
          <w:rFonts w:hint="eastAsia" w:ascii="仿宋" w:hAnsi="仿宋" w:eastAsia="仿宋" w:cs="楷体"/>
          <w:color w:val="auto"/>
          <w:kern w:val="0"/>
          <w:sz w:val="32"/>
          <w:szCs w:val="32"/>
          <w:highlight w:val="none"/>
          <w:u w:val="none"/>
        </w:rPr>
        <w:t>（一）从事个体工商营业、打零工或种植、养殖、捕捞等行业的，以实际经营、劳务、收成所得收入核算。从事非稳定就业且无法计算收入的，参照就业地行业收入标准或者最低工资标准核算。</w:t>
      </w:r>
    </w:p>
    <w:p>
      <w:pPr>
        <w:widowControl/>
        <w:wordWrap w:val="0"/>
        <w:spacing w:line="560" w:lineRule="exact"/>
        <w:ind w:firstLine="640" w:firstLineChars="200"/>
        <w:rPr>
          <w:rFonts w:hint="eastAsia" w:ascii="仿宋" w:hAnsi="仿宋" w:eastAsia="仿宋"/>
          <w:color w:val="auto"/>
          <w:kern w:val="0"/>
          <w:sz w:val="32"/>
          <w:szCs w:val="32"/>
          <w:highlight w:val="none"/>
          <w:u w:val="none"/>
        </w:rPr>
      </w:pPr>
      <w:r>
        <w:rPr>
          <w:rFonts w:hint="eastAsia" w:ascii="仿宋" w:hAnsi="仿宋" w:eastAsia="仿宋" w:cs="楷体"/>
          <w:color w:val="auto"/>
          <w:kern w:val="0"/>
          <w:sz w:val="32"/>
          <w:szCs w:val="32"/>
          <w:highlight w:val="none"/>
          <w:u w:val="none"/>
        </w:rPr>
        <w:t>（二）财产租赁、转让所得，按租赁、转让协议（合同）核算。个人不能提供租赁、转让协议（合同）或者租赁、转让协议（合同）价格明显偏低的，按当地同类、同期市场租赁、转让价格核算。</w:t>
      </w:r>
      <w:r>
        <w:rPr>
          <w:rFonts w:hint="eastAsia" w:ascii="仿宋" w:hAnsi="仿宋" w:eastAsia="仿宋"/>
          <w:color w:val="auto"/>
          <w:kern w:val="0"/>
          <w:sz w:val="32"/>
          <w:szCs w:val="32"/>
          <w:highlight w:val="none"/>
          <w:u w:val="none"/>
        </w:rPr>
        <w:t>拥有超过一套农村城镇化分配的不能买卖且不能过户的房屋，除给予无任何房产的已婚子女、父母长期居住的，对已经出租的按照实际租赁价格核定收入，对未出租的房屋据实核定。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第十</w:t>
      </w:r>
      <w:r>
        <w:rPr>
          <w:rFonts w:hint="eastAsia" w:ascii="楷体" w:hAnsi="楷体" w:eastAsia="楷体" w:cs="楷体"/>
          <w:color w:val="auto"/>
          <w:kern w:val="0"/>
          <w:sz w:val="32"/>
          <w:szCs w:val="32"/>
          <w:highlight w:val="none"/>
          <w:u w:val="none"/>
          <w:lang w:eastAsia="zh-CN"/>
        </w:rPr>
        <w:t>二</w:t>
      </w:r>
      <w:r>
        <w:rPr>
          <w:rFonts w:hint="eastAsia" w:ascii="楷体" w:hAnsi="楷体" w:eastAsia="楷体" w:cs="楷体"/>
          <w:color w:val="auto"/>
          <w:kern w:val="0"/>
          <w:sz w:val="32"/>
          <w:szCs w:val="32"/>
          <w:highlight w:val="none"/>
          <w:u w:val="none"/>
        </w:rPr>
        <w:t>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财产净收入按照以下标准核定：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金融性资产按照实名认定。现金、银行存款按照申请人账户金额认定；股票类资产按照社会救助家庭经济状况核查报告出具时间市值和资金账户余额认定；基金类有价证券按照社会救助家庭经济状况核查报告出具时间净值认定；商业保险按照保险合同约定的给付时间和现金价值认定；其他货币财产的价值，参照上述认定方式予以合理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（二）居住类房屋和非居住类房屋，按照《房地产权证》、《天津市公共租赁住房租赁合同》、《房屋所有权证》、《不动产权证书》等的登记信息认定；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（三）土地和机动车辆、船舶以及大型农机具等按照登记信息认定；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（四）市场主体情况按照市场监管部门登记信息或税务部门登记信息认定；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五）同一财产信息存在异议的；因被盗、灭失、报废等客观原因导致车辆、船舶等动产无法注销的；因身份证遗失、被偷、被盗后被用于注册企业且本人无法自行注销的，应当依据家庭经济状况核对系统信息查询结果，由街道（乡镇）通过调查、核实，提供公安机关的报警、挂失等证明材料等，并综合印证后认定。车辆已出售的，需提供车辆产权转移登记</w:t>
      </w:r>
      <w:r>
        <w:rPr>
          <w:rFonts w:hint="eastAsia" w:ascii="仿宋" w:hAnsi="仿宋" w:eastAsia="仿宋"/>
          <w:color w:val="auto"/>
          <w:kern w:val="0"/>
          <w:sz w:val="32"/>
          <w:szCs w:val="32"/>
          <w:highlight w:val="none"/>
          <w:u w:val="none"/>
          <w:lang w:eastAsia="zh-CN"/>
        </w:rPr>
        <w:t>证</w:t>
      </w:r>
      <w:r>
        <w:rPr>
          <w:rFonts w:hint="eastAsia" w:ascii="仿宋" w:hAnsi="仿宋" w:eastAsia="仿宋"/>
          <w:color w:val="auto"/>
          <w:kern w:val="0"/>
          <w:sz w:val="32"/>
          <w:szCs w:val="32"/>
          <w:highlight w:val="none"/>
          <w:u w:val="none"/>
        </w:rPr>
        <w:t>或正式的二手车交易发票；工商注册信息已变更的，需提供变更登记相关证明</w:t>
      </w:r>
      <w:r>
        <w:rPr>
          <w:rFonts w:hint="eastAsia" w:ascii="仿宋" w:hAnsi="仿宋" w:eastAsia="仿宋"/>
          <w:color w:val="auto"/>
          <w:kern w:val="0"/>
          <w:sz w:val="32"/>
          <w:szCs w:val="32"/>
          <w:highlight w:val="none"/>
          <w:u w:val="none"/>
          <w:lang w:eastAsia="zh-CN"/>
        </w:rPr>
        <w:t>材料</w:t>
      </w:r>
      <w:r>
        <w:rPr>
          <w:rFonts w:hint="eastAsia" w:ascii="仿宋" w:hAnsi="仿宋" w:eastAsia="仿宋"/>
          <w:color w:val="auto"/>
          <w:kern w:val="0"/>
          <w:sz w:val="32"/>
          <w:szCs w:val="32"/>
          <w:highlight w:val="none"/>
          <w:u w:val="none"/>
        </w:rPr>
        <w:t>。</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第十</w:t>
      </w:r>
      <w:r>
        <w:rPr>
          <w:rFonts w:hint="eastAsia" w:ascii="楷体" w:hAnsi="楷体" w:eastAsia="楷体" w:cs="楷体"/>
          <w:color w:val="auto"/>
          <w:kern w:val="0"/>
          <w:sz w:val="32"/>
          <w:szCs w:val="32"/>
          <w:highlight w:val="none"/>
          <w:u w:val="none"/>
          <w:lang w:eastAsia="zh-CN"/>
        </w:rPr>
        <w:t>三</w:t>
      </w:r>
      <w:r>
        <w:rPr>
          <w:rFonts w:hint="eastAsia" w:ascii="楷体" w:hAnsi="楷体" w:eastAsia="楷体" w:cs="楷体"/>
          <w:color w:val="auto"/>
          <w:kern w:val="0"/>
          <w:sz w:val="32"/>
          <w:szCs w:val="32"/>
          <w:highlight w:val="none"/>
          <w:u w:val="none"/>
        </w:rPr>
        <w:t>条</w:t>
      </w:r>
      <w:r>
        <w:rPr>
          <w:rFonts w:hint="eastAsia" w:ascii="仿宋" w:hAnsi="仿宋" w:eastAsia="仿宋"/>
          <w:color w:val="auto"/>
          <w:kern w:val="0"/>
          <w:sz w:val="32"/>
          <w:szCs w:val="32"/>
          <w:highlight w:val="none"/>
          <w:u w:val="none"/>
        </w:rPr>
        <w:t xml:space="preserve"> 转移净收入按照以下标准核定：</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（一）领取城乡居民基本养老保险待遇的人员，扣除基础养老金后计入本人收入；</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w:t>
      </w:r>
      <w:r>
        <w:rPr>
          <w:rFonts w:hint="eastAsia" w:ascii="仿宋" w:hAnsi="仿宋" w:eastAsia="仿宋"/>
          <w:color w:val="auto"/>
          <w:kern w:val="0"/>
          <w:sz w:val="32"/>
          <w:szCs w:val="32"/>
          <w:highlight w:val="none"/>
          <w:u w:val="none"/>
          <w:lang w:eastAsia="zh-CN"/>
        </w:rPr>
        <w:t>供</w:t>
      </w:r>
      <w:r>
        <w:rPr>
          <w:rFonts w:hint="eastAsia" w:ascii="仿宋" w:hAnsi="仿宋" w:eastAsia="仿宋"/>
          <w:color w:val="auto"/>
          <w:kern w:val="0"/>
          <w:sz w:val="32"/>
          <w:szCs w:val="32"/>
          <w:highlight w:val="none"/>
          <w:u w:val="none"/>
        </w:rPr>
        <w:t>养费</w:t>
      </w:r>
      <w:r>
        <w:rPr>
          <w:rFonts w:hint="eastAsia" w:ascii="仿宋" w:hAnsi="仿宋" w:eastAsia="仿宋"/>
          <w:color w:val="auto"/>
          <w:kern w:val="0"/>
          <w:sz w:val="32"/>
          <w:szCs w:val="32"/>
          <w:highlight w:val="none"/>
          <w:u w:val="none"/>
          <w:lang w:eastAsia="zh-CN"/>
        </w:rPr>
        <w:t>（指</w:t>
      </w:r>
      <w:r>
        <w:rPr>
          <w:rFonts w:hint="eastAsia" w:ascii="仿宋" w:hAnsi="仿宋" w:eastAsia="仿宋"/>
          <w:color w:val="auto"/>
          <w:kern w:val="0"/>
          <w:sz w:val="32"/>
          <w:szCs w:val="32"/>
          <w:highlight w:val="none"/>
          <w:u w:val="none"/>
        </w:rPr>
        <w:t>赡养费、抚养费、扶养费</w:t>
      </w:r>
      <w:r>
        <w:rPr>
          <w:rFonts w:hint="eastAsia" w:ascii="仿宋" w:hAnsi="仿宋" w:eastAsia="仿宋"/>
          <w:color w:val="auto"/>
          <w:kern w:val="0"/>
          <w:sz w:val="32"/>
          <w:szCs w:val="32"/>
          <w:highlight w:val="none"/>
          <w:u w:val="none"/>
          <w:lang w:eastAsia="zh-CN"/>
        </w:rPr>
        <w:t>）</w:t>
      </w:r>
      <w:r>
        <w:rPr>
          <w:rFonts w:hint="eastAsia" w:ascii="仿宋" w:hAnsi="仿宋" w:eastAsia="仿宋"/>
          <w:color w:val="auto"/>
          <w:kern w:val="0"/>
          <w:sz w:val="32"/>
          <w:szCs w:val="32"/>
          <w:highlight w:val="none"/>
          <w:u w:val="none"/>
        </w:rPr>
        <w:t>根据</w:t>
      </w:r>
      <w:r>
        <w:rPr>
          <w:rFonts w:hint="eastAsia" w:ascii="仿宋" w:hAnsi="仿宋" w:eastAsia="仿宋"/>
          <w:color w:val="auto"/>
          <w:kern w:val="0"/>
          <w:sz w:val="32"/>
          <w:szCs w:val="32"/>
          <w:highlight w:val="none"/>
          <w:u w:val="none"/>
          <w:lang w:eastAsia="zh-CN"/>
        </w:rPr>
        <w:t>义务人</w:t>
      </w:r>
      <w:r>
        <w:rPr>
          <w:rFonts w:hint="eastAsia" w:ascii="仿宋" w:hAnsi="仿宋" w:eastAsia="仿宋"/>
          <w:color w:val="auto"/>
          <w:kern w:val="0"/>
          <w:sz w:val="32"/>
          <w:szCs w:val="32"/>
          <w:highlight w:val="none"/>
          <w:u w:val="none"/>
        </w:rPr>
        <w:t>收入和财产核定；</w:t>
      </w:r>
      <w:r>
        <w:rPr>
          <w:rFonts w:hint="eastAsia" w:ascii="仿宋" w:hAnsi="仿宋" w:eastAsia="仿宋"/>
          <w:color w:val="auto"/>
          <w:kern w:val="0"/>
          <w:sz w:val="32"/>
          <w:szCs w:val="32"/>
          <w:highlight w:val="none"/>
          <w:u w:val="none"/>
          <w:lang w:eastAsia="zh-CN"/>
        </w:rPr>
        <w:t>义务人成年子女与义务人长期共同居住的不核定其收入与财产</w:t>
      </w:r>
      <w:r>
        <w:rPr>
          <w:rFonts w:hint="eastAsia" w:ascii="仿宋" w:hAnsi="仿宋" w:eastAsia="仿宋"/>
          <w:color w:val="auto"/>
          <w:kern w:val="0"/>
          <w:sz w:val="32"/>
          <w:szCs w:val="32"/>
          <w:highlight w:val="none"/>
          <w:u w:val="none"/>
        </w:rPr>
        <w:t>。</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（三）具有赡养、抚养、扶养义务的家庭成员未共同生活的，义务人应当给付</w:t>
      </w:r>
      <w:r>
        <w:rPr>
          <w:rFonts w:hint="eastAsia" w:ascii="仿宋" w:hAnsi="仿宋" w:eastAsia="仿宋"/>
          <w:color w:val="auto"/>
          <w:kern w:val="0"/>
          <w:sz w:val="32"/>
          <w:szCs w:val="32"/>
          <w:highlight w:val="none"/>
          <w:u w:val="none"/>
          <w:lang w:eastAsia="zh-CN"/>
        </w:rPr>
        <w:t>供养费</w:t>
      </w:r>
      <w:r>
        <w:rPr>
          <w:rFonts w:hint="eastAsia" w:ascii="仿宋" w:hAnsi="仿宋" w:eastAsia="仿宋"/>
          <w:color w:val="auto"/>
          <w:kern w:val="0"/>
          <w:sz w:val="32"/>
          <w:szCs w:val="32"/>
          <w:highlight w:val="none"/>
          <w:u w:val="none"/>
        </w:rPr>
        <w:t>。凡具有法律效力的调解书、判决书等法律文书所规定的赡养费、抚养费、扶养费据实核定；</w:t>
      </w:r>
      <w:r>
        <w:rPr>
          <w:rFonts w:hint="eastAsia" w:ascii="仿宋" w:hAnsi="仿宋" w:eastAsia="仿宋"/>
          <w:color w:val="auto"/>
          <w:kern w:val="0"/>
          <w:sz w:val="32"/>
          <w:szCs w:val="32"/>
          <w:highlight w:val="none"/>
          <w:u w:val="none"/>
          <w:lang w:eastAsia="zh-CN"/>
        </w:rPr>
        <w:t>离婚协议书、法院判决书和调解书已明确供养费的，可从义务人收入进行扣除；</w:t>
      </w:r>
      <w:r>
        <w:rPr>
          <w:rFonts w:hint="eastAsia" w:ascii="仿宋" w:hAnsi="仿宋" w:eastAsia="仿宋"/>
          <w:color w:val="auto"/>
          <w:kern w:val="0"/>
          <w:sz w:val="32"/>
          <w:szCs w:val="32"/>
          <w:highlight w:val="none"/>
          <w:u w:val="none"/>
        </w:rPr>
        <w:t>义务人是低保家庭、特困人员和低保边缘户家庭的，视为无能力提供赡养费、抚养费、扶养费义务，不核定；</w:t>
      </w:r>
    </w:p>
    <w:p>
      <w:pPr>
        <w:widowControl/>
        <w:wordWrap w:val="0"/>
        <w:spacing w:line="560" w:lineRule="exact"/>
        <w:ind w:firstLine="640" w:firstLineChars="200"/>
        <w:rPr>
          <w:rFonts w:hint="eastAsia" w:ascii="仿宋" w:hAnsi="仿宋" w:eastAsia="仿宋"/>
          <w:color w:val="auto"/>
          <w:kern w:val="0"/>
          <w:sz w:val="32"/>
          <w:szCs w:val="32"/>
          <w:highlight w:val="none"/>
          <w:u w:val="none"/>
        </w:rPr>
      </w:pPr>
      <w:r>
        <w:rPr>
          <w:rFonts w:ascii="Times New Roman" w:hAnsi="Times New Roman" w:eastAsia="仿宋" w:cs="Times New Roman"/>
          <w:color w:val="auto"/>
          <w:kern w:val="0"/>
          <w:sz w:val="32"/>
          <w:szCs w:val="32"/>
          <w:highlight w:val="none"/>
          <w:u w:val="none"/>
        </w:rPr>
        <w:t>义务人有稳定收入的，家庭人均收入高于本市低保标准1.5倍的（不含1.5倍），应给付赡养费、抚养费、扶养费。一般将其收入高出部分的50%，</w:t>
      </w:r>
      <w:r>
        <w:rPr>
          <w:rFonts w:hint="eastAsia" w:ascii="仿宋" w:hAnsi="仿宋" w:eastAsia="仿宋"/>
          <w:color w:val="auto"/>
          <w:kern w:val="0"/>
          <w:sz w:val="32"/>
          <w:szCs w:val="32"/>
          <w:highlight w:val="none"/>
          <w:u w:val="none"/>
        </w:rPr>
        <w:t>平均到其应赡养、抚养、扶养的每个对象，</w:t>
      </w:r>
      <w:r>
        <w:rPr>
          <w:rFonts w:hint="eastAsia" w:ascii="仿宋" w:hAnsi="仿宋" w:eastAsia="仿宋"/>
          <w:color w:val="auto"/>
          <w:kern w:val="0"/>
          <w:sz w:val="32"/>
          <w:szCs w:val="32"/>
          <w:highlight w:val="none"/>
          <w:u w:val="none"/>
          <w:lang w:eastAsia="zh-CN"/>
        </w:rPr>
        <w:t>计算给付供养费时</w:t>
      </w:r>
      <w:r>
        <w:rPr>
          <w:rFonts w:hint="eastAsia" w:ascii="仿宋" w:hAnsi="仿宋" w:eastAsia="仿宋"/>
          <w:color w:val="auto"/>
          <w:kern w:val="0"/>
          <w:sz w:val="32"/>
          <w:szCs w:val="32"/>
          <w:highlight w:val="none"/>
          <w:u w:val="none"/>
        </w:rPr>
        <w:t>不包括共同计算人均收入的法定赡养、抚养、扶养义务人家庭成员。</w:t>
      </w:r>
      <w:r>
        <w:rPr>
          <w:rFonts w:hint="eastAsia" w:ascii="仿宋" w:hAnsi="仿宋" w:eastAsia="仿宋"/>
          <w:color w:val="auto"/>
          <w:kern w:val="0"/>
          <w:sz w:val="32"/>
          <w:szCs w:val="32"/>
          <w:highlight w:val="none"/>
          <w:u w:val="none"/>
          <w:lang w:eastAsia="zh-CN"/>
        </w:rPr>
        <w:t>供</w:t>
      </w:r>
      <w:r>
        <w:rPr>
          <w:rFonts w:hint="eastAsia" w:ascii="仿宋" w:hAnsi="仿宋" w:eastAsia="仿宋"/>
          <w:color w:val="auto"/>
          <w:kern w:val="0"/>
          <w:sz w:val="32"/>
          <w:szCs w:val="32"/>
          <w:highlight w:val="none"/>
          <w:u w:val="none"/>
        </w:rPr>
        <w:t>养费按照以下公式计算：</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lang w:eastAsia="zh-CN"/>
        </w:rPr>
        <w:t>义务人月收入</w:t>
      </w:r>
      <w:r>
        <w:rPr>
          <w:rFonts w:hint="eastAsia" w:ascii="仿宋" w:hAnsi="仿宋" w:eastAsia="仿宋"/>
          <w:color w:val="auto"/>
          <w:kern w:val="0"/>
          <w:sz w:val="32"/>
          <w:szCs w:val="32"/>
          <w:highlight w:val="none"/>
          <w:u w:val="none"/>
          <w:lang w:val="en-US" w:eastAsia="zh-CN"/>
        </w:rPr>
        <w:t>=共同生活的家庭成员月收入之和/共同生活的家庭成员人数；</w:t>
      </w:r>
      <w:r>
        <w:rPr>
          <w:rFonts w:hint="eastAsia" w:ascii="仿宋" w:hAnsi="仿宋" w:eastAsia="仿宋"/>
          <w:color w:val="auto"/>
          <w:kern w:val="0"/>
          <w:sz w:val="32"/>
          <w:szCs w:val="32"/>
          <w:highlight w:val="none"/>
          <w:u w:val="none"/>
          <w:lang w:eastAsia="zh-CN"/>
        </w:rPr>
        <w:t>供养</w:t>
      </w:r>
      <w:r>
        <w:rPr>
          <w:rFonts w:hint="eastAsia" w:ascii="仿宋" w:hAnsi="仿宋" w:eastAsia="仿宋"/>
          <w:color w:val="auto"/>
          <w:kern w:val="0"/>
          <w:sz w:val="32"/>
          <w:szCs w:val="32"/>
          <w:highlight w:val="none"/>
          <w:u w:val="none"/>
        </w:rPr>
        <w:t>费=（</w:t>
      </w:r>
      <w:r>
        <w:rPr>
          <w:rFonts w:hint="eastAsia" w:ascii="仿宋" w:hAnsi="仿宋" w:eastAsia="仿宋"/>
          <w:color w:val="auto"/>
          <w:kern w:val="0"/>
          <w:sz w:val="32"/>
          <w:szCs w:val="32"/>
          <w:highlight w:val="none"/>
          <w:u w:val="none"/>
          <w:lang w:eastAsia="zh-CN"/>
        </w:rPr>
        <w:t>义务人月</w:t>
      </w:r>
      <w:r>
        <w:rPr>
          <w:rFonts w:hint="eastAsia" w:ascii="仿宋" w:hAnsi="仿宋" w:eastAsia="仿宋"/>
          <w:color w:val="auto"/>
          <w:kern w:val="0"/>
          <w:sz w:val="32"/>
          <w:szCs w:val="32"/>
          <w:highlight w:val="none"/>
          <w:u w:val="none"/>
        </w:rPr>
        <w:t>收入—低保标准</w:t>
      </w:r>
      <w:r>
        <w:rPr>
          <w:rFonts w:hint="default" w:ascii="Arial" w:hAnsi="Arial" w:eastAsia="仿宋" w:cs="Arial"/>
          <w:color w:val="auto"/>
          <w:kern w:val="0"/>
          <w:sz w:val="32"/>
          <w:szCs w:val="32"/>
          <w:highlight w:val="none"/>
          <w:u w:val="none"/>
        </w:rPr>
        <w:t>×</w:t>
      </w:r>
      <w:r>
        <w:rPr>
          <w:rFonts w:hint="eastAsia" w:ascii="仿宋" w:hAnsi="仿宋" w:eastAsia="仿宋"/>
          <w:color w:val="auto"/>
          <w:kern w:val="0"/>
          <w:sz w:val="32"/>
          <w:szCs w:val="32"/>
          <w:highlight w:val="none"/>
          <w:u w:val="none"/>
        </w:rPr>
        <w:t>1.5）/2/需</w:t>
      </w:r>
      <w:r>
        <w:rPr>
          <w:rFonts w:hint="eastAsia" w:ascii="仿宋" w:hAnsi="仿宋" w:eastAsia="仿宋"/>
          <w:color w:val="auto"/>
          <w:kern w:val="0"/>
          <w:sz w:val="32"/>
          <w:szCs w:val="32"/>
          <w:highlight w:val="none"/>
          <w:u w:val="none"/>
          <w:lang w:eastAsia="zh-CN"/>
        </w:rPr>
        <w:t>供养</w:t>
      </w:r>
      <w:r>
        <w:rPr>
          <w:rFonts w:hint="eastAsia" w:ascii="仿宋" w:hAnsi="仿宋" w:eastAsia="仿宋"/>
          <w:color w:val="auto"/>
          <w:kern w:val="0"/>
          <w:sz w:val="32"/>
          <w:szCs w:val="32"/>
          <w:highlight w:val="none"/>
          <w:u w:val="none"/>
        </w:rPr>
        <w:t>人数）。</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实际支出的赡养、抚养、扶养费高于前款规定的，按实际支付的数额计算；</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（四）夫妻双方经法院判决、调解离婚的，未成年子女抚养费的核定以判决书、调解书为准。夫妻双方协议离婚的，未成年子女抚养费的核定原则上以离婚协议书为准。</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五）对领取一次性经济补偿金或安置费的解除劳动合同人员，核定家庭收入时，应当扣除从解除劳动合同之日至法定退休年龄期间已按灵活就业人员相关规定缴纳的养老保险费（缴费标准按上一年或当年城镇职工养老保险最低缴费基数核定）和从解除劳动合同之日至申请社会救助期间的家庭基本生活费（家庭人口×最低生活保障标准×月数）；</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（六）对领取征地补偿金的农村居民，核定家庭收入时，年满</w:t>
      </w:r>
      <w:r>
        <w:rPr>
          <w:rFonts w:ascii="Times New Roman" w:hAnsi="Times New Roman"/>
          <w:color w:val="auto"/>
          <w:kern w:val="0"/>
          <w:sz w:val="32"/>
          <w:szCs w:val="32"/>
          <w:highlight w:val="none"/>
          <w:u w:val="none"/>
        </w:rPr>
        <w:t>16</w:t>
      </w:r>
      <w:r>
        <w:rPr>
          <w:rFonts w:hint="eastAsia" w:ascii="仿宋" w:hAnsi="仿宋" w:eastAsia="仿宋"/>
          <w:color w:val="auto"/>
          <w:kern w:val="0"/>
          <w:sz w:val="32"/>
          <w:szCs w:val="32"/>
          <w:highlight w:val="none"/>
          <w:u w:val="none"/>
        </w:rPr>
        <w:t>周岁的家庭成员，应当扣除从领取征地补偿金之日至</w:t>
      </w:r>
      <w:r>
        <w:rPr>
          <w:rFonts w:ascii="Times New Roman" w:hAnsi="Times New Roman"/>
          <w:color w:val="auto"/>
          <w:kern w:val="0"/>
          <w:sz w:val="32"/>
          <w:szCs w:val="32"/>
          <w:highlight w:val="none"/>
          <w:u w:val="none"/>
        </w:rPr>
        <w:t>60</w:t>
      </w:r>
      <w:r>
        <w:rPr>
          <w:rFonts w:hint="eastAsia" w:ascii="仿宋" w:hAnsi="仿宋" w:eastAsia="仿宋"/>
          <w:color w:val="auto"/>
          <w:kern w:val="0"/>
          <w:sz w:val="32"/>
          <w:szCs w:val="32"/>
          <w:highlight w:val="none"/>
          <w:u w:val="none"/>
        </w:rPr>
        <w:t>周岁期间应缴纳的城乡居民养老保险费（缴费标准按第三档核定）和从领取征地补偿金之日至申请社会救助期间的家庭基本生活费（家庭人口</w:t>
      </w:r>
      <w:r>
        <w:rPr>
          <w:rFonts w:ascii="Times New Roman" w:hAnsi="Times New Roman"/>
          <w:color w:val="auto"/>
          <w:kern w:val="0"/>
          <w:sz w:val="32"/>
          <w:szCs w:val="32"/>
          <w:highlight w:val="none"/>
          <w:u w:val="none"/>
        </w:rPr>
        <w:t>×</w:t>
      </w:r>
      <w:r>
        <w:rPr>
          <w:rFonts w:hint="eastAsia" w:ascii="仿宋" w:hAnsi="仿宋" w:eastAsia="仿宋"/>
          <w:color w:val="auto"/>
          <w:kern w:val="0"/>
          <w:sz w:val="32"/>
          <w:szCs w:val="32"/>
          <w:highlight w:val="none"/>
          <w:u w:val="none"/>
        </w:rPr>
        <w:t>最低生活保障标准</w:t>
      </w:r>
      <w:r>
        <w:rPr>
          <w:rFonts w:ascii="Times New Roman" w:hAnsi="Times New Roman"/>
          <w:color w:val="auto"/>
          <w:kern w:val="0"/>
          <w:sz w:val="32"/>
          <w:szCs w:val="32"/>
          <w:highlight w:val="none"/>
          <w:u w:val="none"/>
        </w:rPr>
        <w:t>×</w:t>
      </w:r>
      <w:r>
        <w:rPr>
          <w:rFonts w:hint="eastAsia" w:ascii="仿宋" w:hAnsi="仿宋" w:eastAsia="仿宋"/>
          <w:color w:val="auto"/>
          <w:kern w:val="0"/>
          <w:sz w:val="32"/>
          <w:szCs w:val="32"/>
          <w:highlight w:val="none"/>
          <w:u w:val="none"/>
        </w:rPr>
        <w:t>月数）；</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七）具有法定赡养、扶养、抚养义务关系并长期共同居住的人员，应认定为共同生活家庭成员，合计家庭收入和家庭财产；其他未认定为共同生活家庭成员的赡抚养法定义务人，应按规定计算其给付的赡抚养费，并计入申请人家庭收入。离婚、丧偶子女与父母共同居住的，可作为独立户，单独核定收入。</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olor w:val="auto"/>
          <w:kern w:val="0"/>
          <w:sz w:val="32"/>
          <w:szCs w:val="32"/>
          <w:highlight w:val="none"/>
          <w:u w:val="none"/>
        </w:rPr>
        <w:t>第十</w:t>
      </w:r>
      <w:r>
        <w:rPr>
          <w:rFonts w:hint="eastAsia" w:ascii="楷体" w:hAnsi="楷体" w:eastAsia="楷体"/>
          <w:color w:val="auto"/>
          <w:kern w:val="0"/>
          <w:sz w:val="32"/>
          <w:szCs w:val="32"/>
          <w:highlight w:val="none"/>
          <w:u w:val="none"/>
          <w:lang w:eastAsia="zh-CN"/>
        </w:rPr>
        <w:t>四</w:t>
      </w:r>
      <w:r>
        <w:rPr>
          <w:rFonts w:hint="eastAsia" w:ascii="楷体" w:hAnsi="楷体" w:eastAsia="楷体"/>
          <w:color w:val="auto"/>
          <w:kern w:val="0"/>
          <w:sz w:val="32"/>
          <w:szCs w:val="32"/>
          <w:highlight w:val="none"/>
          <w:u w:val="none"/>
        </w:rPr>
        <w:t>条</w:t>
      </w:r>
      <w:r>
        <w:rPr>
          <w:rFonts w:hint="eastAsia" w:ascii="仿宋" w:hAnsi="仿宋" w:eastAsia="仿宋"/>
          <w:color w:val="auto"/>
          <w:kern w:val="0"/>
          <w:sz w:val="32"/>
          <w:szCs w:val="32"/>
          <w:highlight w:val="none"/>
          <w:u w:val="none"/>
        </w:rPr>
        <w:t xml:space="preserve"> 申请家庭成员的赡养、抚养、扶养义务人家庭有下列情形之一的，视为有赡养能力，被供养人家庭一般不能纳入社会救助保障范围。</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（一）有</w:t>
      </w:r>
      <w:r>
        <w:rPr>
          <w:rFonts w:ascii="Times New Roman" w:hAnsi="Times New Roman" w:eastAsia="仿宋" w:cs="Times New Roman"/>
          <w:color w:val="auto"/>
          <w:kern w:val="0"/>
          <w:sz w:val="32"/>
          <w:szCs w:val="32"/>
          <w:highlight w:val="none"/>
          <w:u w:val="none"/>
        </w:rPr>
        <w:t>2</w:t>
      </w:r>
      <w:r>
        <w:rPr>
          <w:rFonts w:hint="eastAsia" w:ascii="仿宋" w:hAnsi="仿宋" w:eastAsia="仿宋"/>
          <w:color w:val="auto"/>
          <w:kern w:val="0"/>
          <w:sz w:val="32"/>
          <w:szCs w:val="32"/>
          <w:highlight w:val="none"/>
          <w:u w:val="none"/>
        </w:rPr>
        <w:t>套及以上房产（农村城镇化分配的不能买卖且不能过户的房屋除外），且人均建筑面积高于统计部门公布的上年度本市人均住房建筑面积；</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（二）拥有中高档家用车辆（车辆现值在</w:t>
      </w:r>
      <w:r>
        <w:rPr>
          <w:rFonts w:ascii="Times New Roman" w:hAnsi="Times New Roman" w:eastAsia="仿宋" w:cs="Times New Roman"/>
          <w:color w:val="auto"/>
          <w:kern w:val="0"/>
          <w:sz w:val="32"/>
          <w:szCs w:val="32"/>
          <w:highlight w:val="none"/>
          <w:u w:val="none"/>
        </w:rPr>
        <w:t>15</w:t>
      </w:r>
      <w:r>
        <w:rPr>
          <w:rFonts w:hint="eastAsia" w:ascii="仿宋" w:hAnsi="仿宋" w:eastAsia="仿宋"/>
          <w:color w:val="auto"/>
          <w:kern w:val="0"/>
          <w:sz w:val="32"/>
          <w:szCs w:val="32"/>
          <w:highlight w:val="none"/>
          <w:u w:val="none"/>
        </w:rPr>
        <w:t>万元及以上的）；</w:t>
      </w:r>
    </w:p>
    <w:p>
      <w:pPr>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（三）家庭金融性资产总额超过</w:t>
      </w:r>
      <w:r>
        <w:rPr>
          <w:rFonts w:ascii="Times New Roman" w:hAnsi="Times New Roman" w:eastAsia="仿宋" w:cs="Times New Roman"/>
          <w:color w:val="auto"/>
          <w:kern w:val="0"/>
          <w:sz w:val="32"/>
          <w:szCs w:val="32"/>
          <w:highlight w:val="none"/>
          <w:u w:val="none"/>
        </w:rPr>
        <w:t>20</w:t>
      </w:r>
      <w:r>
        <w:rPr>
          <w:rFonts w:hint="eastAsia" w:ascii="仿宋" w:hAnsi="仿宋" w:eastAsia="仿宋"/>
          <w:color w:val="auto"/>
          <w:kern w:val="0"/>
          <w:sz w:val="32"/>
          <w:szCs w:val="32"/>
          <w:highlight w:val="none"/>
          <w:u w:val="none"/>
        </w:rPr>
        <w:t>万元，家庭成员无重残、</w:t>
      </w:r>
    </w:p>
    <w:p>
      <w:pPr>
        <w:spacing w:line="560" w:lineRule="exact"/>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重病人员。其中唯一住房被征收（拆迁）的补偿款、意外伤害赔偿款不计入财产；</w:t>
      </w:r>
      <w:r>
        <w:rPr>
          <w:rFonts w:hint="eastAsia" w:ascii="仿宋" w:hAnsi="仿宋" w:eastAsia="仿宋" w:cs="仿宋"/>
          <w:bCs/>
          <w:color w:val="auto"/>
          <w:sz w:val="32"/>
          <w:szCs w:val="32"/>
          <w:highlight w:val="none"/>
          <w:u w:val="none"/>
        </w:rPr>
        <w:t>因病变卖家庭唯一住房获得的现金除外；</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（四）在各类企业中认缴出资额累计超过</w:t>
      </w:r>
      <w:r>
        <w:rPr>
          <w:rFonts w:ascii="Times New Roman" w:hAnsi="Times New Roman" w:eastAsia="仿宋" w:cs="Times New Roman"/>
          <w:color w:val="auto"/>
          <w:kern w:val="0"/>
          <w:sz w:val="32"/>
          <w:szCs w:val="32"/>
          <w:highlight w:val="none"/>
          <w:u w:val="none"/>
        </w:rPr>
        <w:t>20</w:t>
      </w:r>
      <w:r>
        <w:rPr>
          <w:rFonts w:hint="eastAsia" w:ascii="仿宋" w:hAnsi="仿宋" w:eastAsia="仿宋"/>
          <w:color w:val="auto"/>
          <w:kern w:val="0"/>
          <w:sz w:val="32"/>
          <w:szCs w:val="32"/>
          <w:highlight w:val="none"/>
          <w:u w:val="none"/>
        </w:rPr>
        <w:t>万元（含）；</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（五）赡养、抚养、扶养义务人及其家庭成员不如实提供相关材料或拒绝（不配合）家庭经济状况核对工作的；</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（六）区级人民政府民政部门规定的其他情形。</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第十</w:t>
      </w:r>
      <w:r>
        <w:rPr>
          <w:rFonts w:hint="eastAsia" w:ascii="楷体" w:hAnsi="楷体" w:eastAsia="楷体" w:cs="楷体"/>
          <w:color w:val="auto"/>
          <w:kern w:val="0"/>
          <w:sz w:val="32"/>
          <w:szCs w:val="32"/>
          <w:highlight w:val="none"/>
          <w:u w:val="none"/>
          <w:lang w:eastAsia="zh-CN"/>
        </w:rPr>
        <w:t>五</w:t>
      </w:r>
      <w:r>
        <w:rPr>
          <w:rFonts w:hint="eastAsia" w:ascii="楷体" w:hAnsi="楷体" w:eastAsia="楷体" w:cs="楷体"/>
          <w:color w:val="auto"/>
          <w:kern w:val="0"/>
          <w:sz w:val="32"/>
          <w:szCs w:val="32"/>
          <w:highlight w:val="none"/>
          <w:u w:val="none"/>
        </w:rPr>
        <w:t xml:space="preserve">条 </w:t>
      </w:r>
      <w:r>
        <w:rPr>
          <w:rFonts w:hint="eastAsia" w:ascii="仿宋" w:hAnsi="仿宋" w:eastAsia="仿宋"/>
          <w:color w:val="auto"/>
          <w:kern w:val="0"/>
          <w:sz w:val="32"/>
          <w:szCs w:val="32"/>
          <w:highlight w:val="none"/>
          <w:u w:val="none"/>
        </w:rPr>
        <w:t>核查在册救助对象时下列财产不计入申请人家庭财产范围：</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（一）来源于不计收入部分形成的银行存款；</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（二）属于公益慈善等社会组织对困难家庭及个人捐助所形成的银行存款；</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（三）法律法规规定不计入家庭财产的其他财产。</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第十</w:t>
      </w:r>
      <w:r>
        <w:rPr>
          <w:rFonts w:hint="eastAsia" w:ascii="楷体" w:hAnsi="楷体" w:eastAsia="楷体" w:cs="楷体"/>
          <w:color w:val="auto"/>
          <w:kern w:val="0"/>
          <w:sz w:val="32"/>
          <w:szCs w:val="32"/>
          <w:highlight w:val="none"/>
          <w:u w:val="none"/>
          <w:lang w:eastAsia="zh-CN"/>
        </w:rPr>
        <w:t>六</w:t>
      </w:r>
      <w:r>
        <w:rPr>
          <w:rFonts w:hint="eastAsia" w:ascii="楷体" w:hAnsi="楷体" w:eastAsia="楷体" w:cs="楷体"/>
          <w:color w:val="auto"/>
          <w:kern w:val="0"/>
          <w:sz w:val="32"/>
          <w:szCs w:val="32"/>
          <w:highlight w:val="none"/>
          <w:u w:val="none"/>
        </w:rPr>
        <w:t>条</w:t>
      </w:r>
      <w:r>
        <w:rPr>
          <w:rFonts w:hint="eastAsia" w:ascii="Times New Roman" w:hAnsi="Times New Roman"/>
          <w:color w:val="auto"/>
          <w:kern w:val="0"/>
          <w:sz w:val="32"/>
          <w:szCs w:val="32"/>
          <w:highlight w:val="none"/>
          <w:u w:val="none"/>
        </w:rPr>
        <w:t xml:space="preserve"> </w:t>
      </w:r>
      <w:r>
        <w:rPr>
          <w:rFonts w:hint="eastAsia" w:ascii="仿宋" w:hAnsi="仿宋" w:eastAsia="仿宋"/>
          <w:color w:val="auto"/>
          <w:kern w:val="0"/>
          <w:sz w:val="32"/>
          <w:szCs w:val="32"/>
          <w:highlight w:val="none"/>
          <w:u w:val="none"/>
        </w:rPr>
        <w:t>符合分类救助条件的家庭，其家庭收入核定按分类救助政策执行。</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olor w:val="auto"/>
          <w:kern w:val="0"/>
          <w:sz w:val="32"/>
          <w:szCs w:val="32"/>
          <w:highlight w:val="none"/>
          <w:u w:val="none"/>
        </w:rPr>
        <w:t>第</w:t>
      </w:r>
      <w:r>
        <w:rPr>
          <w:rFonts w:hint="eastAsia" w:ascii="楷体" w:hAnsi="楷体" w:eastAsia="楷体"/>
          <w:color w:val="auto"/>
          <w:kern w:val="0"/>
          <w:sz w:val="32"/>
          <w:szCs w:val="32"/>
          <w:highlight w:val="none"/>
          <w:u w:val="none"/>
          <w:lang w:eastAsia="zh-CN"/>
        </w:rPr>
        <w:t>十七</w:t>
      </w:r>
      <w:r>
        <w:rPr>
          <w:rFonts w:hint="eastAsia" w:ascii="楷体" w:hAnsi="楷体" w:eastAsia="楷体"/>
          <w:color w:val="auto"/>
          <w:kern w:val="0"/>
          <w:sz w:val="32"/>
          <w:szCs w:val="32"/>
          <w:highlight w:val="none"/>
          <w:u w:val="none"/>
        </w:rPr>
        <w:t xml:space="preserve">条 </w:t>
      </w:r>
      <w:r>
        <w:rPr>
          <w:rFonts w:hint="eastAsia" w:ascii="仿宋" w:hAnsi="仿宋" w:eastAsia="仿宋"/>
          <w:color w:val="auto"/>
          <w:kern w:val="0"/>
          <w:sz w:val="32"/>
          <w:szCs w:val="32"/>
          <w:highlight w:val="none"/>
          <w:u w:val="none"/>
        </w:rPr>
        <w:t>下列人员在享受低保待遇时上浮救助标准。</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（一）父母双方均符合死亡、失联、服刑在押、强制隔离戒毒、被执行其他限制人身自由的措施情形之一的</w:t>
      </w:r>
      <w:r>
        <w:rPr>
          <w:rFonts w:ascii="Times New Roman" w:hAnsi="Times New Roman" w:eastAsia="仿宋" w:cs="Times New Roman"/>
          <w:color w:val="auto"/>
          <w:kern w:val="0"/>
          <w:sz w:val="32"/>
          <w:szCs w:val="32"/>
          <w:highlight w:val="none"/>
          <w:u w:val="none"/>
        </w:rPr>
        <w:t>18</w:t>
      </w:r>
      <w:r>
        <w:rPr>
          <w:rFonts w:hint="eastAsia" w:ascii="仿宋" w:hAnsi="仿宋" w:eastAsia="仿宋"/>
          <w:color w:val="auto"/>
          <w:kern w:val="0"/>
          <w:sz w:val="32"/>
          <w:szCs w:val="32"/>
          <w:highlight w:val="none"/>
          <w:u w:val="none"/>
        </w:rPr>
        <w:t>周岁（含）以上全日制在校学生（不含研究生、博士生）享受低保待遇时，增发</w:t>
      </w:r>
      <w:r>
        <w:rPr>
          <w:rFonts w:ascii="Times New Roman" w:hAnsi="Times New Roman" w:eastAsia="仿宋" w:cs="Times New Roman"/>
          <w:color w:val="auto"/>
          <w:kern w:val="0"/>
          <w:sz w:val="32"/>
          <w:szCs w:val="32"/>
          <w:highlight w:val="none"/>
          <w:u w:val="none"/>
        </w:rPr>
        <w:t>1560</w:t>
      </w:r>
      <w:r>
        <w:rPr>
          <w:rFonts w:hint="eastAsia" w:ascii="仿宋" w:hAnsi="仿宋" w:eastAsia="仿宋"/>
          <w:color w:val="auto"/>
          <w:kern w:val="0"/>
          <w:sz w:val="32"/>
          <w:szCs w:val="32"/>
          <w:highlight w:val="none"/>
          <w:u w:val="none"/>
        </w:rPr>
        <w:t>元；</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（二）享受低保待遇的</w:t>
      </w:r>
      <w:r>
        <w:rPr>
          <w:rFonts w:ascii="Times New Roman" w:hAnsi="Times New Roman" w:eastAsia="仿宋" w:cs="Times New Roman"/>
          <w:color w:val="auto"/>
          <w:kern w:val="0"/>
          <w:sz w:val="32"/>
          <w:szCs w:val="32"/>
          <w:highlight w:val="none"/>
          <w:u w:val="none"/>
        </w:rPr>
        <w:t>60周岁（含）以上的老年人，在享受原差额救助的基础上，增发300</w:t>
      </w:r>
      <w:r>
        <w:rPr>
          <w:rFonts w:hint="eastAsia" w:ascii="仿宋" w:hAnsi="仿宋" w:eastAsia="仿宋"/>
          <w:color w:val="auto"/>
          <w:kern w:val="0"/>
          <w:sz w:val="32"/>
          <w:szCs w:val="32"/>
          <w:highlight w:val="none"/>
          <w:u w:val="none"/>
        </w:rPr>
        <w:t>元。</w:t>
      </w:r>
    </w:p>
    <w:p>
      <w:pPr>
        <w:wordWrap w:val="0"/>
        <w:spacing w:line="560" w:lineRule="exact"/>
        <w:ind w:firstLine="640" w:firstLineChars="200"/>
        <w:rPr>
          <w:rFonts w:ascii="Times New Roman" w:hAnsi="Times New Roman" w:eastAsia="仿宋" w:cs="Times New Roman"/>
          <w:color w:val="auto"/>
          <w:kern w:val="0"/>
          <w:sz w:val="32"/>
          <w:szCs w:val="32"/>
          <w:highlight w:val="none"/>
          <w:u w:val="none"/>
        </w:rPr>
      </w:pPr>
      <w:r>
        <w:rPr>
          <w:rFonts w:hint="eastAsia" w:ascii="楷体" w:hAnsi="楷体" w:eastAsia="楷体"/>
          <w:color w:val="auto"/>
          <w:kern w:val="0"/>
          <w:sz w:val="32"/>
          <w:szCs w:val="32"/>
          <w:highlight w:val="none"/>
          <w:u w:val="none"/>
        </w:rPr>
        <w:t>第</w:t>
      </w:r>
      <w:r>
        <w:rPr>
          <w:rFonts w:hint="eastAsia" w:ascii="楷体" w:hAnsi="楷体" w:eastAsia="楷体"/>
          <w:color w:val="auto"/>
          <w:kern w:val="0"/>
          <w:sz w:val="32"/>
          <w:szCs w:val="32"/>
          <w:highlight w:val="none"/>
          <w:u w:val="none"/>
          <w:lang w:eastAsia="zh-CN"/>
        </w:rPr>
        <w:t>十八</w:t>
      </w:r>
      <w:r>
        <w:rPr>
          <w:rFonts w:hint="eastAsia" w:ascii="楷体" w:hAnsi="楷体" w:eastAsia="楷体"/>
          <w:color w:val="auto"/>
          <w:kern w:val="0"/>
          <w:sz w:val="32"/>
          <w:szCs w:val="32"/>
          <w:highlight w:val="none"/>
          <w:u w:val="none"/>
        </w:rPr>
        <w:t>条</w:t>
      </w:r>
      <w:r>
        <w:rPr>
          <w:rFonts w:hint="eastAsia" w:ascii="仿宋" w:hAnsi="仿宋" w:eastAsia="仿宋"/>
          <w:color w:val="auto"/>
          <w:kern w:val="0"/>
          <w:sz w:val="32"/>
          <w:szCs w:val="32"/>
          <w:highlight w:val="none"/>
          <w:u w:val="none"/>
        </w:rPr>
        <w:t xml:space="preserve"> 最低生活保障、最低生活保障边缘家庭中患有本市有关部门认定的重特大疾病的人员，是指符合《市民政局 市财政局 市人社局 市残联 关于完善分类救助有关政策的通知》（津民规〔</w:t>
      </w:r>
      <w:r>
        <w:rPr>
          <w:rFonts w:hint="eastAsia" w:ascii="Times New Roman" w:hAnsi="Times New Roman" w:eastAsia="仿宋"/>
          <w:color w:val="auto"/>
          <w:kern w:val="0"/>
          <w:sz w:val="32"/>
          <w:szCs w:val="32"/>
          <w:highlight w:val="none"/>
          <w:u w:val="none"/>
        </w:rPr>
        <w:t>2020</w:t>
      </w:r>
      <w:r>
        <w:rPr>
          <w:rFonts w:hint="eastAsia" w:ascii="仿宋" w:hAnsi="仿宋" w:eastAsia="仿宋"/>
          <w:color w:val="auto"/>
          <w:kern w:val="0"/>
          <w:sz w:val="32"/>
          <w:szCs w:val="32"/>
          <w:highlight w:val="none"/>
          <w:u w:val="none"/>
        </w:rPr>
        <w:t>〕</w:t>
      </w:r>
      <w:r>
        <w:rPr>
          <w:rFonts w:hint="eastAsia" w:ascii="Times New Roman" w:hAnsi="Times New Roman" w:eastAsia="仿宋"/>
          <w:color w:val="auto"/>
          <w:kern w:val="0"/>
          <w:sz w:val="32"/>
          <w:szCs w:val="32"/>
          <w:highlight w:val="none"/>
          <w:u w:val="none"/>
        </w:rPr>
        <w:t>2</w:t>
      </w:r>
      <w:r>
        <w:rPr>
          <w:rFonts w:hint="eastAsia" w:ascii="仿宋" w:hAnsi="仿宋" w:eastAsia="仿宋"/>
          <w:color w:val="auto"/>
          <w:kern w:val="0"/>
          <w:sz w:val="32"/>
          <w:szCs w:val="32"/>
          <w:highlight w:val="none"/>
          <w:u w:val="none"/>
        </w:rPr>
        <w:t>号）分类救助政策中重病抵扣家庭收入</w:t>
      </w:r>
      <w:r>
        <w:rPr>
          <w:rFonts w:ascii="Times New Roman" w:hAnsi="Times New Roman" w:eastAsia="仿宋" w:cs="Times New Roman"/>
          <w:color w:val="auto"/>
          <w:kern w:val="0"/>
          <w:sz w:val="32"/>
          <w:szCs w:val="32"/>
          <w:highlight w:val="none"/>
          <w:u w:val="none"/>
        </w:rPr>
        <w:t>1000元和1500元档次的患者。</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对低保边缘户家庭中单人保对象，不享受最低生活保障家庭中特定对象的相关分类救助抵扣政策。</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olor w:val="auto"/>
          <w:kern w:val="0"/>
          <w:sz w:val="32"/>
          <w:szCs w:val="32"/>
          <w:highlight w:val="none"/>
          <w:u w:val="none"/>
        </w:rPr>
        <w:t>第</w:t>
      </w:r>
      <w:r>
        <w:rPr>
          <w:rFonts w:hint="eastAsia" w:ascii="楷体" w:hAnsi="楷体" w:eastAsia="楷体"/>
          <w:color w:val="auto"/>
          <w:kern w:val="0"/>
          <w:sz w:val="32"/>
          <w:szCs w:val="32"/>
          <w:highlight w:val="none"/>
          <w:u w:val="none"/>
          <w:lang w:eastAsia="zh-CN"/>
        </w:rPr>
        <w:t>十九</w:t>
      </w:r>
      <w:r>
        <w:rPr>
          <w:rFonts w:hint="eastAsia" w:ascii="楷体" w:hAnsi="楷体" w:eastAsia="楷体"/>
          <w:color w:val="auto"/>
          <w:kern w:val="0"/>
          <w:sz w:val="32"/>
          <w:szCs w:val="32"/>
          <w:highlight w:val="none"/>
          <w:u w:val="none"/>
        </w:rPr>
        <w:t>条</w:t>
      </w:r>
      <w:r>
        <w:rPr>
          <w:rFonts w:hint="eastAsia" w:ascii="仿宋" w:hAnsi="仿宋" w:eastAsia="仿宋"/>
          <w:color w:val="auto"/>
          <w:kern w:val="0"/>
          <w:sz w:val="32"/>
          <w:szCs w:val="32"/>
          <w:highlight w:val="none"/>
          <w:u w:val="none"/>
        </w:rPr>
        <w:t xml:space="preserve"> 最低生活保障金额按照最低生活保障家庭人均收入低于本市最低生活保障标准之间的差额确定。</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基本计算公式为：家庭月最低生活保障金额=低保标准×家庭成员数-（家庭成员月收入-分类救助抵扣）+上浮救助标准。</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家庭成员月收入=家庭成员年收入/</w:t>
      </w:r>
      <w:r>
        <w:rPr>
          <w:rFonts w:ascii="Times New Roman" w:hAnsi="Times New Roman" w:eastAsia="仿宋" w:cs="Times New Roman"/>
          <w:color w:val="auto"/>
          <w:kern w:val="0"/>
          <w:sz w:val="32"/>
          <w:szCs w:val="32"/>
          <w:highlight w:val="none"/>
          <w:u w:val="none"/>
        </w:rPr>
        <w:t>12</w:t>
      </w:r>
      <w:r>
        <w:rPr>
          <w:rFonts w:hint="eastAsia" w:ascii="仿宋" w:hAnsi="仿宋" w:eastAsia="仿宋"/>
          <w:color w:val="auto"/>
          <w:kern w:val="0"/>
          <w:sz w:val="32"/>
          <w:szCs w:val="32"/>
          <w:highlight w:val="none"/>
          <w:u w:val="none"/>
        </w:rPr>
        <w:t>。</w:t>
      </w:r>
    </w:p>
    <w:p>
      <w:pPr>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sz w:val="32"/>
          <w:szCs w:val="32"/>
          <w:highlight w:val="none"/>
          <w:u w:val="none"/>
        </w:rPr>
        <w:t xml:space="preserve">        </w:t>
      </w:r>
    </w:p>
    <w:p>
      <w:pPr>
        <w:pStyle w:val="5"/>
        <w:numPr>
          <w:ilvl w:val="0"/>
          <w:numId w:val="1"/>
        </w:numPr>
        <w:spacing w:line="560" w:lineRule="exact"/>
        <w:jc w:val="center"/>
        <w:rPr>
          <w:rFonts w:ascii="黑体" w:hAnsi="黑体" w:eastAsia="黑体" w:cs="Times New Roman"/>
          <w:color w:val="auto"/>
          <w:sz w:val="32"/>
          <w:szCs w:val="32"/>
          <w:highlight w:val="none"/>
          <w:u w:val="none"/>
        </w:rPr>
      </w:pPr>
      <w:r>
        <w:rPr>
          <w:rFonts w:hint="eastAsia"/>
          <w:color w:val="auto"/>
          <w:sz w:val="32"/>
          <w:szCs w:val="32"/>
          <w:highlight w:val="none"/>
          <w:u w:val="none"/>
        </w:rPr>
        <w:t> </w:t>
      </w:r>
      <w:r>
        <w:rPr>
          <w:rFonts w:hint="eastAsia" w:ascii="黑体" w:hAnsi="黑体" w:eastAsia="黑体" w:cs="Times New Roman"/>
          <w:color w:val="auto"/>
          <w:sz w:val="32"/>
          <w:szCs w:val="32"/>
          <w:highlight w:val="none"/>
          <w:u w:val="none"/>
        </w:rPr>
        <w:t>认定标准</w:t>
      </w:r>
    </w:p>
    <w:p>
      <w:pPr>
        <w:pStyle w:val="5"/>
        <w:spacing w:line="560" w:lineRule="exact"/>
        <w:ind w:firstLine="640" w:firstLineChars="200"/>
        <w:jc w:val="both"/>
        <w:rPr>
          <w:rFonts w:ascii="黑体" w:hAnsi="黑体" w:eastAsia="黑体" w:cs="Times New Roman"/>
          <w:color w:val="auto"/>
          <w:sz w:val="32"/>
          <w:szCs w:val="32"/>
          <w:highlight w:val="none"/>
          <w:u w:val="none"/>
        </w:rPr>
      </w:pP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楷体" w:hAnsi="楷体" w:eastAsia="楷体" w:cs="楷体"/>
          <w:color w:val="auto"/>
          <w:sz w:val="32"/>
          <w:szCs w:val="32"/>
          <w:highlight w:val="none"/>
          <w:u w:val="none"/>
        </w:rPr>
        <w:t>第二十条</w:t>
      </w:r>
      <w:r>
        <w:rPr>
          <w:rFonts w:hint="eastAsia" w:ascii="黑体" w:hAnsi="黑体" w:eastAsia="黑体"/>
          <w:color w:val="auto"/>
          <w:sz w:val="32"/>
          <w:szCs w:val="32"/>
          <w:highlight w:val="none"/>
          <w:u w:val="none"/>
        </w:rPr>
        <w:t xml:space="preserve"> </w:t>
      </w:r>
      <w:r>
        <w:rPr>
          <w:rFonts w:hint="eastAsia" w:ascii="仿宋" w:hAnsi="仿宋" w:eastAsia="仿宋"/>
          <w:color w:val="auto"/>
          <w:sz w:val="32"/>
          <w:szCs w:val="32"/>
          <w:highlight w:val="none"/>
          <w:u w:val="none"/>
        </w:rPr>
        <w:t>申请最低生活保障家庭的，家庭经济状况应符合以下情形：</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（一）家庭人均月收入低于本市最低生活保障标准；</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（二）家庭人均拥有货币财产总额，包括现金、存款、理财产品、有价证券、商业保险以及家庭成员注册市场主体或在各类企业中投资认缴出资额，不得超过</w:t>
      </w:r>
      <w:r>
        <w:rPr>
          <w:rFonts w:ascii="Times New Roman" w:hAnsi="Times New Roman" w:eastAsia="仿宋" w:cs="Times New Roman"/>
          <w:color w:val="auto"/>
          <w:sz w:val="32"/>
          <w:szCs w:val="32"/>
          <w:highlight w:val="none"/>
          <w:u w:val="none"/>
        </w:rPr>
        <w:t>24</w:t>
      </w:r>
      <w:r>
        <w:rPr>
          <w:rFonts w:hint="eastAsia" w:ascii="仿宋" w:hAnsi="仿宋" w:eastAsia="仿宋"/>
          <w:color w:val="auto"/>
          <w:sz w:val="32"/>
          <w:szCs w:val="32"/>
          <w:highlight w:val="none"/>
          <w:u w:val="none"/>
        </w:rPr>
        <w:t>个月城乡最低生活保障标准之和（因病变卖家庭唯一住房获得的现金除外）；</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（三）家庭成员名下无生活用机动车辆、船舶、大型农机具等大型机械，现值</w:t>
      </w:r>
      <w:r>
        <w:rPr>
          <w:rFonts w:ascii="Times New Roman" w:hAnsi="Times New Roman" w:eastAsia="仿宋" w:cs="Times New Roman"/>
          <w:color w:val="auto"/>
          <w:sz w:val="32"/>
          <w:szCs w:val="32"/>
          <w:highlight w:val="none"/>
          <w:u w:val="none"/>
        </w:rPr>
        <w:t>5000</w:t>
      </w:r>
      <w:r>
        <w:rPr>
          <w:rFonts w:hint="eastAsia" w:ascii="仿宋" w:hAnsi="仿宋" w:eastAsia="仿宋"/>
          <w:color w:val="auto"/>
          <w:sz w:val="32"/>
          <w:szCs w:val="32"/>
          <w:highlight w:val="none"/>
          <w:u w:val="none"/>
        </w:rPr>
        <w:t>元以下的摩托车、电瓶车、三轮车、残疾人功能性补偿代步机动车辆以及家庭成员因罹患重大疾病、重度残疾长期就医使用的机动车辆除外。重特大疾病标准参考本办法第十八条有关内容，重度残疾标准指持有中华人民共和国残疾人证的一级、二级重度残疾人和三级智力残疾人、三级精神残疾人；</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（四）家庭成员名下承租的公有住房和拥有的私有住房仅有</w:t>
      </w:r>
      <w:r>
        <w:rPr>
          <w:rFonts w:ascii="Times New Roman" w:hAnsi="Times New Roman" w:eastAsia="仿宋" w:cs="Times New Roman"/>
          <w:color w:val="auto"/>
          <w:sz w:val="32"/>
          <w:szCs w:val="32"/>
          <w:highlight w:val="none"/>
          <w:u w:val="none"/>
        </w:rPr>
        <w:t>1</w:t>
      </w:r>
      <w:r>
        <w:rPr>
          <w:rFonts w:hint="eastAsia" w:ascii="仿宋" w:hAnsi="仿宋" w:eastAsia="仿宋"/>
          <w:color w:val="auto"/>
          <w:sz w:val="32"/>
          <w:szCs w:val="32"/>
          <w:highlight w:val="none"/>
          <w:u w:val="none"/>
        </w:rPr>
        <w:t>套或无房；</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（五）家庭成员名下不能拥有非居住类房屋 (唯一住房为非居住类房屋的除外）；</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（六）家庭成员中不能有自费留学和在国外工作的情况（在国内能提供收入证明的除外）；</w:t>
      </w:r>
    </w:p>
    <w:p>
      <w:pPr>
        <w:spacing w:line="52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（七）家庭成员不能拥有非生活必需高档用品；</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（八）区级以上人民政府规定的其他的情形。</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楷体" w:hAnsi="楷体" w:eastAsia="楷体" w:cs="楷体"/>
          <w:color w:val="auto"/>
          <w:sz w:val="32"/>
          <w:szCs w:val="32"/>
          <w:highlight w:val="none"/>
          <w:u w:val="none"/>
        </w:rPr>
        <w:t>第二十</w:t>
      </w:r>
      <w:r>
        <w:rPr>
          <w:rFonts w:hint="eastAsia" w:ascii="楷体" w:hAnsi="楷体" w:eastAsia="楷体" w:cs="楷体"/>
          <w:color w:val="auto"/>
          <w:sz w:val="32"/>
          <w:szCs w:val="32"/>
          <w:highlight w:val="none"/>
          <w:u w:val="none"/>
          <w:lang w:eastAsia="zh-CN"/>
        </w:rPr>
        <w:t>一</w:t>
      </w:r>
      <w:r>
        <w:rPr>
          <w:rFonts w:hint="eastAsia" w:ascii="楷体" w:hAnsi="楷体" w:eastAsia="楷体" w:cs="楷体"/>
          <w:color w:val="auto"/>
          <w:sz w:val="32"/>
          <w:szCs w:val="32"/>
          <w:highlight w:val="none"/>
          <w:u w:val="none"/>
        </w:rPr>
        <w:t>条</w:t>
      </w:r>
      <w:r>
        <w:rPr>
          <w:rFonts w:hint="eastAsia" w:ascii="仿宋" w:hAnsi="仿宋" w:eastAsia="仿宋"/>
          <w:color w:val="auto"/>
          <w:sz w:val="32"/>
          <w:szCs w:val="32"/>
          <w:highlight w:val="none"/>
          <w:u w:val="none"/>
        </w:rPr>
        <w:t xml:space="preserve"> 申请最低生活保障边缘家庭的，家庭经济状况应符合以下情形：</w:t>
      </w:r>
    </w:p>
    <w:p>
      <w:pPr>
        <w:pStyle w:val="5"/>
        <w:spacing w:line="560" w:lineRule="exact"/>
        <w:ind w:firstLine="640" w:firstLineChars="200"/>
        <w:jc w:val="both"/>
        <w:rPr>
          <w:rFonts w:ascii="仿宋" w:hAnsi="仿宋" w:eastAsia="仿宋"/>
          <w:color w:val="auto"/>
          <w:sz w:val="32"/>
          <w:szCs w:val="32"/>
          <w:highlight w:val="none"/>
          <w:u w:val="none"/>
        </w:rPr>
      </w:pPr>
      <w:r>
        <w:rPr>
          <w:rFonts w:hint="eastAsia" w:ascii="仿宋" w:hAnsi="仿宋" w:eastAsia="仿宋"/>
          <w:color w:val="auto"/>
          <w:sz w:val="32"/>
          <w:szCs w:val="32"/>
          <w:highlight w:val="none"/>
          <w:u w:val="none"/>
        </w:rPr>
        <w:t>（一）家庭人均月收入超出本市最低生活保障标准，但不高于同期最低生活保障标</w:t>
      </w:r>
      <w:r>
        <w:rPr>
          <w:rFonts w:ascii="Times New Roman" w:hAnsi="Times New Roman" w:eastAsia="仿宋" w:cs="Times New Roman"/>
          <w:color w:val="auto"/>
          <w:sz w:val="32"/>
          <w:szCs w:val="32"/>
          <w:highlight w:val="none"/>
          <w:u w:val="none"/>
        </w:rPr>
        <w:t>准1.5</w:t>
      </w:r>
      <w:r>
        <w:rPr>
          <w:rFonts w:hint="eastAsia" w:ascii="仿宋" w:hAnsi="仿宋" w:eastAsia="仿宋"/>
          <w:color w:val="auto"/>
          <w:sz w:val="32"/>
          <w:szCs w:val="32"/>
          <w:highlight w:val="none"/>
          <w:u w:val="none"/>
        </w:rPr>
        <w:t>倍；</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（二）家庭人均拥有货币财产总额，包括现金、存款、理财产品、有价证券、商业保险</w:t>
      </w:r>
      <w:r>
        <w:rPr>
          <w:rFonts w:hint="eastAsia" w:ascii="仿宋" w:hAnsi="仿宋" w:eastAsia="仿宋"/>
          <w:color w:val="auto"/>
          <w:sz w:val="32"/>
          <w:szCs w:val="32"/>
          <w:highlight w:val="none"/>
          <w:u w:val="none"/>
        </w:rPr>
        <w:t>以及家庭成员注册市场主体或在各类企业中投资认缴出资额</w:t>
      </w:r>
      <w:r>
        <w:rPr>
          <w:rFonts w:hint="eastAsia" w:ascii="仿宋" w:hAnsi="仿宋" w:eastAsia="仿宋" w:cs="宋体"/>
          <w:color w:val="auto"/>
          <w:kern w:val="0"/>
          <w:sz w:val="32"/>
          <w:szCs w:val="32"/>
          <w:highlight w:val="none"/>
          <w:u w:val="none"/>
        </w:rPr>
        <w:t>，不得超过</w:t>
      </w:r>
      <w:r>
        <w:rPr>
          <w:rFonts w:hint="eastAsia" w:ascii="Times New Roman" w:hAnsi="Times New Roman" w:eastAsia="仿宋"/>
          <w:color w:val="auto"/>
          <w:kern w:val="0"/>
          <w:sz w:val="32"/>
          <w:szCs w:val="32"/>
          <w:highlight w:val="none"/>
          <w:u w:val="none"/>
        </w:rPr>
        <w:t>36</w:t>
      </w:r>
      <w:r>
        <w:rPr>
          <w:rFonts w:hint="eastAsia" w:ascii="仿宋" w:hAnsi="仿宋" w:eastAsia="仿宋" w:cs="宋体"/>
          <w:color w:val="auto"/>
          <w:kern w:val="0"/>
          <w:sz w:val="32"/>
          <w:szCs w:val="32"/>
          <w:highlight w:val="none"/>
          <w:u w:val="none"/>
        </w:rPr>
        <w:t>个月城乡最低生活保障标准之和（因病变卖家庭唯一住房获得的现金除外）；</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（三）其他家庭财产符合本办法第</w:t>
      </w:r>
      <w:r>
        <w:rPr>
          <w:rFonts w:hint="eastAsia" w:ascii="仿宋" w:hAnsi="仿宋" w:eastAsia="仿宋" w:cs="宋体"/>
          <w:color w:val="auto"/>
          <w:kern w:val="0"/>
          <w:sz w:val="32"/>
          <w:szCs w:val="32"/>
          <w:highlight w:val="none"/>
          <w:u w:val="none"/>
          <w:lang w:eastAsia="zh-CN"/>
        </w:rPr>
        <w:t>二十</w:t>
      </w:r>
      <w:r>
        <w:rPr>
          <w:rFonts w:hint="eastAsia" w:ascii="仿宋" w:hAnsi="仿宋" w:eastAsia="仿宋" w:cs="宋体"/>
          <w:color w:val="auto"/>
          <w:kern w:val="0"/>
          <w:sz w:val="32"/>
          <w:szCs w:val="32"/>
          <w:highlight w:val="none"/>
          <w:u w:val="none"/>
        </w:rPr>
        <w:t>条有关规定。</w:t>
      </w:r>
    </w:p>
    <w:p>
      <w:pPr>
        <w:wordWrap w:val="0"/>
        <w:spacing w:line="560" w:lineRule="exact"/>
        <w:ind w:firstLine="640" w:firstLineChars="200"/>
        <w:jc w:val="left"/>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其中，符合下列条件的最低生活保障边缘家庭，每户每月按照城乡最低生活保障标准</w:t>
      </w:r>
      <w:r>
        <w:rPr>
          <w:rFonts w:hint="eastAsia" w:ascii="Times New Roman" w:hAnsi="Times New Roman" w:eastAsia="仿宋"/>
          <w:color w:val="auto"/>
          <w:kern w:val="0"/>
          <w:sz w:val="32"/>
          <w:szCs w:val="32"/>
          <w:highlight w:val="none"/>
          <w:u w:val="none"/>
        </w:rPr>
        <w:t>30%发放</w:t>
      </w:r>
      <w:r>
        <w:rPr>
          <w:rFonts w:hint="eastAsia" w:ascii="仿宋" w:hAnsi="仿宋" w:eastAsia="仿宋" w:cs="宋体"/>
          <w:color w:val="auto"/>
          <w:kern w:val="0"/>
          <w:sz w:val="32"/>
          <w:szCs w:val="32"/>
          <w:highlight w:val="none"/>
          <w:u w:val="none"/>
        </w:rPr>
        <w:t>社会保障金，享受待遇参照原低收入家庭标准执行。</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1.家庭成员中有残疾人的；</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2.家庭成员中有患天津市基本医疗保险规定的大病或门诊特殊病的家庭；</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3.子女在学（从学龄前至全日制在校大学本科学生的家庭）的单亲家庭，学龄前是指</w:t>
      </w:r>
      <w:r>
        <w:rPr>
          <w:rFonts w:ascii="Times New Roman" w:hAnsi="Times New Roman" w:eastAsia="仿宋" w:cs="Times New Roman"/>
          <w:color w:val="auto"/>
          <w:kern w:val="0"/>
          <w:sz w:val="32"/>
          <w:szCs w:val="32"/>
          <w:highlight w:val="none"/>
          <w:u w:val="none"/>
        </w:rPr>
        <w:t>3-6</w:t>
      </w:r>
      <w:r>
        <w:rPr>
          <w:rFonts w:hint="eastAsia" w:ascii="仿宋" w:hAnsi="仿宋" w:eastAsia="仿宋" w:cs="宋体"/>
          <w:color w:val="auto"/>
          <w:kern w:val="0"/>
          <w:sz w:val="32"/>
          <w:szCs w:val="32"/>
          <w:highlight w:val="none"/>
          <w:u w:val="none"/>
        </w:rPr>
        <w:t>岁儿童；</w:t>
      </w:r>
    </w:p>
    <w:p>
      <w:pPr>
        <w:wordWrap w:val="0"/>
        <w:spacing w:line="560" w:lineRule="exact"/>
        <w:ind w:firstLine="640" w:firstLineChars="200"/>
        <w:rPr>
          <w:rFonts w:ascii="仿宋" w:hAnsi="仿宋" w:eastAsia="仿宋" w:cs="宋体"/>
          <w:color w:val="auto"/>
          <w:kern w:val="0"/>
          <w:sz w:val="32"/>
          <w:szCs w:val="32"/>
          <w:highlight w:val="none"/>
          <w:u w:val="none"/>
        </w:rPr>
      </w:pPr>
      <w:r>
        <w:rPr>
          <w:rFonts w:hint="eastAsia" w:ascii="仿宋" w:hAnsi="仿宋" w:eastAsia="仿宋" w:cs="宋体"/>
          <w:color w:val="auto"/>
          <w:kern w:val="0"/>
          <w:sz w:val="32"/>
          <w:szCs w:val="32"/>
          <w:highlight w:val="none"/>
          <w:u w:val="none"/>
        </w:rPr>
        <w:t>4.领取计划生育特别扶助金的家庭；</w:t>
      </w:r>
    </w:p>
    <w:p>
      <w:pPr>
        <w:wordWrap w:val="0"/>
        <w:spacing w:line="560" w:lineRule="exact"/>
        <w:ind w:firstLine="640" w:firstLineChars="200"/>
        <w:rPr>
          <w:rFonts w:ascii="仿宋" w:hAnsi="仿宋" w:eastAsia="仿宋" w:cs="宋体"/>
          <w:b/>
          <w:bCs/>
          <w:color w:val="auto"/>
          <w:kern w:val="0"/>
          <w:sz w:val="32"/>
          <w:szCs w:val="32"/>
          <w:highlight w:val="none"/>
          <w:u w:val="none"/>
        </w:rPr>
      </w:pPr>
      <w:r>
        <w:rPr>
          <w:rFonts w:hint="eastAsia" w:ascii="仿宋" w:hAnsi="仿宋" w:eastAsia="仿宋" w:cs="宋体"/>
          <w:color w:val="auto"/>
          <w:kern w:val="0"/>
          <w:sz w:val="32"/>
          <w:szCs w:val="32"/>
          <w:highlight w:val="none"/>
          <w:u w:val="none"/>
        </w:rPr>
        <w:t>5.家庭成员均为</w:t>
      </w:r>
      <w:r>
        <w:rPr>
          <w:rFonts w:hint="eastAsia" w:ascii="Times New Roman" w:hAnsi="Times New Roman" w:eastAsia="仿宋"/>
          <w:color w:val="auto"/>
          <w:kern w:val="0"/>
          <w:sz w:val="32"/>
          <w:szCs w:val="32"/>
          <w:highlight w:val="none"/>
          <w:u w:val="none"/>
        </w:rPr>
        <w:t>60</w:t>
      </w:r>
      <w:r>
        <w:rPr>
          <w:rFonts w:hint="eastAsia" w:ascii="仿宋" w:hAnsi="仿宋" w:eastAsia="仿宋" w:cs="宋体"/>
          <w:color w:val="auto"/>
          <w:kern w:val="0"/>
          <w:sz w:val="32"/>
          <w:szCs w:val="32"/>
          <w:highlight w:val="none"/>
          <w:u w:val="none"/>
        </w:rPr>
        <w:t>周岁以上老年人且无子女的家庭。</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 xml:space="preserve"> </w:t>
      </w: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二</w:t>
      </w:r>
      <w:r>
        <w:rPr>
          <w:rFonts w:hint="eastAsia" w:ascii="楷体" w:hAnsi="楷体" w:eastAsia="楷体" w:cs="楷体"/>
          <w:color w:val="auto"/>
          <w:kern w:val="0"/>
          <w:sz w:val="32"/>
          <w:szCs w:val="32"/>
          <w:highlight w:val="none"/>
          <w:u w:val="none"/>
        </w:rPr>
        <w:t>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对于维持申请人家庭生产生活的必需财产，可按下列规定豁免。</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一）家庭成员名下拥有唯一机动车，且该机动车用于保障家庭成员因罹患重特大疾病在本市行政区域内医院长期就医使用，重度残疾人进行治疗、康复或出行等特殊情形的，可适当放宽认定条件，所拥有的机动车辆现值不超过</w:t>
      </w:r>
      <w:r>
        <w:rPr>
          <w:rFonts w:ascii="Times New Roman" w:hAnsi="Times New Roman" w:eastAsia="仿宋" w:cs="Times New Roman"/>
          <w:color w:val="auto"/>
          <w:kern w:val="0"/>
          <w:sz w:val="32"/>
          <w:szCs w:val="32"/>
          <w:highlight w:val="none"/>
          <w:u w:val="none"/>
        </w:rPr>
        <w:t>2.5</w:t>
      </w:r>
      <w:r>
        <w:rPr>
          <w:rFonts w:hint="eastAsia" w:ascii="仿宋" w:hAnsi="仿宋" w:eastAsia="仿宋"/>
          <w:color w:val="auto"/>
          <w:kern w:val="0"/>
          <w:sz w:val="32"/>
          <w:szCs w:val="32"/>
          <w:highlight w:val="none"/>
          <w:u w:val="none"/>
        </w:rPr>
        <w:t>万元，机动车使用期间产生的费用不得认定为生活必需支出；</w:t>
      </w:r>
    </w:p>
    <w:p>
      <w:pPr>
        <w:widowControl/>
        <w:wordWrap w:val="0"/>
        <w:spacing w:line="520" w:lineRule="exact"/>
        <w:ind w:firstLine="640" w:firstLineChars="200"/>
        <w:rPr>
          <w:rFonts w:ascii="Times New Roman" w:hAnsi="Times New Roman" w:eastAsia="仿宋"/>
          <w:color w:val="auto"/>
          <w:kern w:val="0"/>
          <w:sz w:val="32"/>
          <w:szCs w:val="32"/>
          <w:highlight w:val="none"/>
          <w:u w:val="none"/>
        </w:rPr>
      </w:pPr>
      <w:r>
        <w:rPr>
          <w:rFonts w:hint="eastAsia" w:ascii="仿宋" w:hAnsi="仿宋" w:eastAsia="仿宋"/>
          <w:color w:val="auto"/>
          <w:kern w:val="0"/>
          <w:sz w:val="32"/>
          <w:szCs w:val="32"/>
          <w:highlight w:val="none"/>
          <w:u w:val="none"/>
        </w:rPr>
        <w:t>（二）最低生活保障家庭核查时，发现家庭成员人均存款超过同期</w:t>
      </w:r>
      <w:r>
        <w:rPr>
          <w:rFonts w:ascii="Times New Roman" w:hAnsi="Times New Roman" w:eastAsia="仿宋"/>
          <w:color w:val="auto"/>
          <w:kern w:val="0"/>
          <w:sz w:val="32"/>
          <w:szCs w:val="32"/>
          <w:highlight w:val="none"/>
          <w:u w:val="none"/>
        </w:rPr>
        <w:t>24个月城乡低保标准，且累积持有时间未超过12个月，能够提供自申请或者动态管理之日起12个月内二级以上级别医院开具的医学诊断证明书、治疗方案等医学证明材料，确认存款用于治疗重大疾病的，可以予以豁免。豁免时间最长不能超过12个月</w:t>
      </w:r>
      <w:r>
        <w:rPr>
          <w:rFonts w:hint="eastAsia" w:ascii="Times New Roman" w:hAnsi="Times New Roman" w:eastAsia="仿宋"/>
          <w:color w:val="auto"/>
          <w:kern w:val="0"/>
          <w:sz w:val="32"/>
          <w:szCs w:val="32"/>
          <w:highlight w:val="none"/>
          <w:u w:val="none"/>
        </w:rPr>
        <w:t>；</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（三）家庭成员名下有二套房但累计人均住房建筑面积不高于统计部门公布的上年度本市人均住房建筑面积的（2022年度本市人均住房建筑面积为36平米）；农村城镇化分配的不能买卖且不能过户的房屋。</w:t>
      </w:r>
    </w:p>
    <w:p>
      <w:pPr>
        <w:widowControl/>
        <w:wordWrap w:val="0"/>
        <w:spacing w:line="480" w:lineRule="auto"/>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三</w:t>
      </w:r>
      <w:r>
        <w:rPr>
          <w:rFonts w:hint="eastAsia" w:ascii="楷体" w:hAnsi="楷体" w:eastAsia="楷体" w:cs="楷体"/>
          <w:color w:val="auto"/>
          <w:kern w:val="0"/>
          <w:sz w:val="32"/>
          <w:szCs w:val="32"/>
          <w:highlight w:val="none"/>
          <w:u w:val="none"/>
        </w:rPr>
        <w:t xml:space="preserve">条 </w:t>
      </w:r>
      <w:r>
        <w:rPr>
          <w:rFonts w:hint="eastAsia" w:ascii="仿宋" w:hAnsi="仿宋" w:eastAsia="仿宋"/>
          <w:color w:val="auto"/>
          <w:kern w:val="0"/>
          <w:sz w:val="32"/>
          <w:szCs w:val="32"/>
          <w:highlight w:val="none"/>
          <w:u w:val="none"/>
        </w:rPr>
        <w:t>本细则中所指机动车辆（使用年限</w:t>
      </w:r>
      <w:r>
        <w:rPr>
          <w:rFonts w:hint="eastAsia" w:ascii="仿宋" w:hAnsi="仿宋" w:eastAsia="仿宋"/>
          <w:color w:val="auto"/>
          <w:kern w:val="0"/>
          <w:sz w:val="32"/>
          <w:szCs w:val="32"/>
          <w:highlight w:val="none"/>
          <w:u w:val="none"/>
          <w:lang w:eastAsia="zh-CN"/>
        </w:rPr>
        <w:t>在</w:t>
      </w:r>
      <w:r>
        <w:rPr>
          <w:rFonts w:hint="eastAsia" w:ascii="仿宋" w:hAnsi="仿宋" w:eastAsia="仿宋"/>
          <w:color w:val="auto"/>
          <w:kern w:val="0"/>
          <w:sz w:val="32"/>
          <w:szCs w:val="32"/>
          <w:highlight w:val="none"/>
          <w:u w:val="none"/>
        </w:rPr>
        <w:t>15年</w:t>
      </w:r>
      <w:r>
        <w:rPr>
          <w:rFonts w:hint="eastAsia" w:ascii="仿宋" w:hAnsi="仿宋" w:eastAsia="仿宋"/>
          <w:color w:val="auto"/>
          <w:kern w:val="0"/>
          <w:sz w:val="32"/>
          <w:szCs w:val="32"/>
          <w:highlight w:val="none"/>
          <w:u w:val="none"/>
          <w:lang w:eastAsia="zh-CN"/>
        </w:rPr>
        <w:t>内的</w:t>
      </w:r>
      <w:r>
        <w:rPr>
          <w:rFonts w:hint="eastAsia" w:ascii="仿宋" w:hAnsi="仿宋" w:eastAsia="仿宋"/>
          <w:color w:val="auto"/>
          <w:kern w:val="0"/>
          <w:sz w:val="32"/>
          <w:szCs w:val="32"/>
          <w:highlight w:val="none"/>
          <w:u w:val="none"/>
        </w:rPr>
        <w:t>）现值一般按照重置折旧法确定，对重置折旧法认定结果有异议的家庭，可</w:t>
      </w:r>
      <w:r>
        <w:rPr>
          <w:rFonts w:hint="eastAsia" w:ascii="仿宋" w:hAnsi="仿宋" w:eastAsia="仿宋"/>
          <w:color w:val="auto"/>
          <w:kern w:val="0"/>
          <w:sz w:val="32"/>
          <w:szCs w:val="32"/>
          <w:highlight w:val="none"/>
          <w:u w:val="none"/>
          <w:lang w:eastAsia="zh-CN"/>
        </w:rPr>
        <w:t>以</w:t>
      </w:r>
      <w:r>
        <w:rPr>
          <w:rFonts w:hint="eastAsia" w:ascii="仿宋" w:hAnsi="仿宋" w:eastAsia="仿宋"/>
          <w:color w:val="auto"/>
          <w:kern w:val="0"/>
          <w:sz w:val="32"/>
          <w:szCs w:val="32"/>
          <w:highlight w:val="none"/>
          <w:u w:val="none"/>
        </w:rPr>
        <w:t>委托有资质的专业评估机构出具评估报告确定车辆价值。评估费用由申请家庭自行承担。按照以下公式计算：</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汽车价值=重置价格×（1-已使用年限/15年）×100%</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上述公式中汽车的重置价格以购买发票</w:t>
      </w:r>
      <w:r>
        <w:rPr>
          <w:rFonts w:hint="eastAsia" w:ascii="仿宋" w:hAnsi="仿宋" w:eastAsia="仿宋"/>
          <w:color w:val="auto"/>
          <w:kern w:val="0"/>
          <w:sz w:val="32"/>
          <w:szCs w:val="32"/>
          <w:highlight w:val="none"/>
          <w:u w:val="none"/>
          <w:lang w:eastAsia="zh-CN"/>
        </w:rPr>
        <w:t>（原车价格）</w:t>
      </w:r>
      <w:r>
        <w:rPr>
          <w:rFonts w:hint="eastAsia" w:ascii="仿宋" w:hAnsi="仿宋" w:eastAsia="仿宋"/>
          <w:color w:val="auto"/>
          <w:kern w:val="0"/>
          <w:sz w:val="32"/>
          <w:szCs w:val="32"/>
          <w:highlight w:val="none"/>
          <w:u w:val="none"/>
        </w:rPr>
        <w:t>为准。</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仿宋" w:hAnsi="仿宋" w:eastAsia="仿宋"/>
          <w:color w:val="auto"/>
          <w:kern w:val="0"/>
          <w:sz w:val="32"/>
          <w:szCs w:val="32"/>
          <w:highlight w:val="none"/>
          <w:u w:val="none"/>
        </w:rPr>
        <w:t>机动车使用年限超过15年的，按当地同类、同期市场交易、转让价格核算，对认定结果有异议的家庭，可委托有资质的专业评估机构出具评估，评估费用由申请家庭自行承担。</w:t>
      </w:r>
    </w:p>
    <w:p>
      <w:pPr>
        <w:widowControl/>
        <w:wordWrap w:val="0"/>
        <w:spacing w:line="560" w:lineRule="exact"/>
        <w:ind w:firstLine="640" w:firstLineChars="200"/>
        <w:rPr>
          <w:rFonts w:ascii="Times New Roman" w:hAnsi="Times New Roman"/>
          <w:color w:val="auto"/>
          <w:kern w:val="0"/>
          <w:szCs w:val="21"/>
          <w:highlight w:val="none"/>
          <w:u w:val="none"/>
        </w:rPr>
      </w:pP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四</w:t>
      </w:r>
      <w:r>
        <w:rPr>
          <w:rFonts w:hint="eastAsia" w:ascii="楷体" w:hAnsi="楷体" w:eastAsia="楷体" w:cs="楷体"/>
          <w:color w:val="auto"/>
          <w:kern w:val="0"/>
          <w:sz w:val="32"/>
          <w:szCs w:val="32"/>
          <w:highlight w:val="none"/>
          <w:u w:val="none"/>
        </w:rPr>
        <w:t>条</w:t>
      </w:r>
      <w:r>
        <w:rPr>
          <w:rFonts w:hint="eastAsia" w:ascii="仿宋" w:hAnsi="仿宋" w:eastAsia="仿宋"/>
          <w:color w:val="auto"/>
          <w:kern w:val="0"/>
          <w:sz w:val="32"/>
          <w:szCs w:val="32"/>
          <w:highlight w:val="none"/>
          <w:u w:val="none"/>
        </w:rPr>
        <w:t>对申请或已享受救助的家庭，自申请或享受之日起，在任何时点核对出的家庭成员名下的动产和不动产，均认定为其家庭财产。</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五</w:t>
      </w:r>
      <w:r>
        <w:rPr>
          <w:rFonts w:hint="eastAsia" w:ascii="楷体" w:hAnsi="楷体" w:eastAsia="楷体" w:cs="楷体"/>
          <w:color w:val="auto"/>
          <w:kern w:val="0"/>
          <w:sz w:val="32"/>
          <w:szCs w:val="32"/>
          <w:highlight w:val="none"/>
          <w:u w:val="none"/>
        </w:rPr>
        <w:t>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社会救助申请人、其家庭成员及具有赡（抚）养义务的家庭需如实申报家庭经济状况，并配合社会救助管理部门开展家庭经济状况调查。救助对象及具有赡（抚）养义务的家庭不如实提供经济状况信息骗取社会救助的，依法予以处理，并记入社会救助对象信用记录，依法开展失信惩戒。</w:t>
      </w:r>
    </w:p>
    <w:p>
      <w:pPr>
        <w:widowControl/>
        <w:wordWrap w:val="0"/>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六</w:t>
      </w:r>
      <w:r>
        <w:rPr>
          <w:rFonts w:hint="eastAsia" w:ascii="楷体" w:hAnsi="楷体" w:eastAsia="楷体" w:cs="楷体"/>
          <w:color w:val="auto"/>
          <w:kern w:val="0"/>
          <w:sz w:val="32"/>
          <w:szCs w:val="32"/>
          <w:highlight w:val="none"/>
          <w:u w:val="none"/>
        </w:rPr>
        <w:t xml:space="preserve">条 </w:t>
      </w:r>
      <w:r>
        <w:rPr>
          <w:rFonts w:hint="eastAsia" w:ascii="仿宋" w:hAnsi="仿宋" w:eastAsia="仿宋"/>
          <w:color w:val="auto"/>
          <w:kern w:val="0"/>
          <w:sz w:val="32"/>
          <w:szCs w:val="32"/>
          <w:highlight w:val="none"/>
          <w:u w:val="none"/>
        </w:rPr>
        <w:t>凡2023年</w:t>
      </w:r>
      <w:r>
        <w:rPr>
          <w:rFonts w:hint="eastAsia" w:ascii="仿宋" w:hAnsi="仿宋" w:eastAsia="仿宋"/>
          <w:color w:val="auto"/>
          <w:kern w:val="0"/>
          <w:sz w:val="32"/>
          <w:szCs w:val="32"/>
          <w:highlight w:val="none"/>
          <w:u w:val="none"/>
          <w:lang w:val="en-US" w:eastAsia="zh-CN"/>
        </w:rPr>
        <w:t>2</w:t>
      </w:r>
      <w:r>
        <w:rPr>
          <w:rFonts w:hint="eastAsia" w:ascii="仿宋" w:hAnsi="仿宋" w:eastAsia="仿宋"/>
          <w:color w:val="auto"/>
          <w:kern w:val="0"/>
          <w:sz w:val="32"/>
          <w:szCs w:val="32"/>
          <w:highlight w:val="none"/>
          <w:u w:val="none"/>
        </w:rPr>
        <w:t>月</w:t>
      </w:r>
      <w:r>
        <w:rPr>
          <w:rFonts w:hint="eastAsia" w:ascii="仿宋" w:hAnsi="仿宋" w:eastAsia="仿宋"/>
          <w:color w:val="auto"/>
          <w:kern w:val="0"/>
          <w:sz w:val="32"/>
          <w:szCs w:val="32"/>
          <w:highlight w:val="none"/>
          <w:u w:val="none"/>
          <w:lang w:val="en-US" w:eastAsia="zh-CN"/>
        </w:rPr>
        <w:t>28</w:t>
      </w:r>
      <w:r>
        <w:rPr>
          <w:rFonts w:hint="eastAsia" w:ascii="仿宋" w:hAnsi="仿宋" w:eastAsia="仿宋"/>
          <w:color w:val="auto"/>
          <w:kern w:val="0"/>
          <w:sz w:val="32"/>
          <w:szCs w:val="32"/>
          <w:highlight w:val="none"/>
          <w:u w:val="none"/>
        </w:rPr>
        <w:t>日以前，</w:t>
      </w:r>
      <w:r>
        <w:rPr>
          <w:rFonts w:hint="eastAsia" w:ascii="仿宋" w:hAnsi="仿宋" w:eastAsia="仿宋"/>
          <w:color w:val="auto"/>
          <w:kern w:val="0"/>
          <w:sz w:val="32"/>
          <w:szCs w:val="32"/>
          <w:highlight w:val="none"/>
          <w:u w:val="none"/>
          <w:lang w:eastAsia="zh-CN"/>
        </w:rPr>
        <w:t>已确认为低保、低保边缘家庭的</w:t>
      </w:r>
      <w:r>
        <w:rPr>
          <w:rFonts w:hint="eastAsia" w:ascii="仿宋" w:hAnsi="仿宋" w:eastAsia="仿宋"/>
          <w:color w:val="auto"/>
          <w:kern w:val="0"/>
          <w:sz w:val="32"/>
          <w:szCs w:val="32"/>
          <w:highlight w:val="none"/>
          <w:u w:val="none"/>
        </w:rPr>
        <w:t>，</w:t>
      </w:r>
      <w:r>
        <w:rPr>
          <w:rFonts w:hint="eastAsia" w:ascii="仿宋" w:hAnsi="仿宋" w:eastAsia="仿宋"/>
          <w:color w:val="auto"/>
          <w:kern w:val="0"/>
          <w:sz w:val="32"/>
          <w:szCs w:val="32"/>
          <w:highlight w:val="none"/>
          <w:u w:val="none"/>
          <w:lang w:eastAsia="zh-CN"/>
        </w:rPr>
        <w:t>可</w:t>
      </w:r>
      <w:r>
        <w:rPr>
          <w:rFonts w:hint="eastAsia" w:ascii="仿宋" w:hAnsi="仿宋" w:eastAsia="仿宋"/>
          <w:color w:val="auto"/>
          <w:kern w:val="0"/>
          <w:sz w:val="32"/>
          <w:szCs w:val="32"/>
          <w:highlight w:val="none"/>
          <w:u w:val="none"/>
        </w:rPr>
        <w:t>继续</w:t>
      </w:r>
      <w:r>
        <w:rPr>
          <w:rFonts w:hint="eastAsia" w:ascii="仿宋" w:hAnsi="仿宋" w:eastAsia="仿宋"/>
          <w:color w:val="auto"/>
          <w:kern w:val="0"/>
          <w:sz w:val="32"/>
          <w:szCs w:val="32"/>
          <w:highlight w:val="none"/>
          <w:u w:val="none"/>
          <w:lang w:eastAsia="zh-CN"/>
        </w:rPr>
        <w:t>执行原供</w:t>
      </w:r>
      <w:r>
        <w:rPr>
          <w:rFonts w:hint="eastAsia" w:ascii="仿宋" w:hAnsi="仿宋" w:eastAsia="仿宋"/>
          <w:color w:val="auto"/>
          <w:kern w:val="0"/>
          <w:sz w:val="32"/>
          <w:szCs w:val="32"/>
          <w:highlight w:val="none"/>
          <w:u w:val="none"/>
        </w:rPr>
        <w:t>养费</w:t>
      </w:r>
      <w:r>
        <w:rPr>
          <w:rFonts w:hint="eastAsia" w:ascii="仿宋" w:hAnsi="仿宋" w:eastAsia="仿宋"/>
          <w:color w:val="auto"/>
          <w:kern w:val="0"/>
          <w:sz w:val="32"/>
          <w:szCs w:val="32"/>
          <w:highlight w:val="none"/>
          <w:u w:val="none"/>
          <w:lang w:eastAsia="zh-CN"/>
        </w:rPr>
        <w:t>计算</w:t>
      </w:r>
      <w:r>
        <w:rPr>
          <w:rFonts w:hint="eastAsia" w:ascii="仿宋" w:hAnsi="仿宋" w:eastAsia="仿宋"/>
          <w:color w:val="auto"/>
          <w:kern w:val="0"/>
          <w:sz w:val="32"/>
          <w:szCs w:val="32"/>
          <w:highlight w:val="none"/>
          <w:u w:val="none"/>
        </w:rPr>
        <w:t>标准</w:t>
      </w:r>
      <w:r>
        <w:rPr>
          <w:rFonts w:hint="eastAsia" w:ascii="仿宋" w:hAnsi="仿宋" w:eastAsia="仿宋"/>
          <w:color w:val="auto"/>
          <w:kern w:val="0"/>
          <w:sz w:val="32"/>
          <w:szCs w:val="32"/>
          <w:highlight w:val="none"/>
          <w:u w:val="none"/>
          <w:lang w:eastAsia="zh-CN"/>
        </w:rPr>
        <w:t>，不予调整</w:t>
      </w:r>
      <w:r>
        <w:rPr>
          <w:rFonts w:hint="eastAsia" w:ascii="仿宋" w:hAnsi="仿宋" w:eastAsia="仿宋"/>
          <w:color w:val="auto"/>
          <w:kern w:val="0"/>
          <w:sz w:val="32"/>
          <w:szCs w:val="32"/>
          <w:highlight w:val="none"/>
          <w:u w:val="none"/>
        </w:rPr>
        <w:t>。2023年3月1日以后受理的</w:t>
      </w:r>
      <w:r>
        <w:rPr>
          <w:rFonts w:hint="eastAsia" w:ascii="仿宋" w:hAnsi="仿宋" w:eastAsia="仿宋"/>
          <w:color w:val="auto"/>
          <w:kern w:val="0"/>
          <w:sz w:val="32"/>
          <w:szCs w:val="32"/>
          <w:highlight w:val="none"/>
          <w:u w:val="none"/>
          <w:lang w:eastAsia="zh-CN"/>
        </w:rPr>
        <w:t>低保等社会救助申请</w:t>
      </w:r>
      <w:r>
        <w:rPr>
          <w:rFonts w:hint="eastAsia" w:ascii="仿宋" w:hAnsi="仿宋" w:eastAsia="仿宋"/>
          <w:color w:val="auto"/>
          <w:kern w:val="0"/>
          <w:sz w:val="32"/>
          <w:szCs w:val="32"/>
          <w:highlight w:val="none"/>
          <w:u w:val="none"/>
        </w:rPr>
        <w:t>，按照本《</w:t>
      </w:r>
      <w:r>
        <w:rPr>
          <w:rFonts w:hint="eastAsia" w:ascii="仿宋" w:hAnsi="仿宋" w:eastAsia="仿宋"/>
          <w:color w:val="auto"/>
          <w:kern w:val="0"/>
          <w:sz w:val="32"/>
          <w:szCs w:val="32"/>
          <w:highlight w:val="none"/>
          <w:u w:val="none"/>
          <w:lang w:eastAsia="zh-CN"/>
        </w:rPr>
        <w:t>细则</w:t>
      </w:r>
      <w:r>
        <w:rPr>
          <w:rFonts w:hint="eastAsia" w:ascii="仿宋" w:hAnsi="仿宋" w:eastAsia="仿宋"/>
          <w:color w:val="auto"/>
          <w:kern w:val="0"/>
          <w:sz w:val="32"/>
          <w:szCs w:val="32"/>
          <w:highlight w:val="none"/>
          <w:u w:val="none"/>
        </w:rPr>
        <w:t>》有关规定计算</w:t>
      </w:r>
      <w:r>
        <w:rPr>
          <w:rFonts w:hint="eastAsia" w:ascii="仿宋" w:hAnsi="仿宋" w:eastAsia="仿宋"/>
          <w:color w:val="auto"/>
          <w:kern w:val="0"/>
          <w:sz w:val="32"/>
          <w:szCs w:val="32"/>
          <w:highlight w:val="none"/>
          <w:u w:val="none"/>
          <w:lang w:eastAsia="zh-CN"/>
        </w:rPr>
        <w:t>供</w:t>
      </w:r>
      <w:r>
        <w:rPr>
          <w:rFonts w:hint="eastAsia" w:ascii="仿宋" w:hAnsi="仿宋" w:eastAsia="仿宋"/>
          <w:color w:val="auto"/>
          <w:kern w:val="0"/>
          <w:sz w:val="32"/>
          <w:szCs w:val="32"/>
          <w:highlight w:val="none"/>
          <w:u w:val="none"/>
        </w:rPr>
        <w:t>养费。</w:t>
      </w:r>
    </w:p>
    <w:p>
      <w:pPr>
        <w:widowControl/>
        <w:wordWrap w:val="0"/>
        <w:spacing w:line="560" w:lineRule="exact"/>
        <w:ind w:firstLine="640" w:firstLineChars="200"/>
        <w:jc w:val="center"/>
        <w:rPr>
          <w:rFonts w:ascii="黑体" w:hAnsi="黑体" w:eastAsia="黑体"/>
          <w:color w:val="auto"/>
          <w:kern w:val="0"/>
          <w:sz w:val="32"/>
          <w:szCs w:val="32"/>
          <w:highlight w:val="none"/>
          <w:u w:val="none"/>
        </w:rPr>
      </w:pPr>
    </w:p>
    <w:p>
      <w:pPr>
        <w:widowControl/>
        <w:wordWrap w:val="0"/>
        <w:spacing w:line="560" w:lineRule="exact"/>
        <w:jc w:val="center"/>
        <w:rPr>
          <w:rFonts w:ascii="黑体" w:hAnsi="黑体" w:eastAsia="黑体"/>
          <w:color w:val="auto"/>
          <w:kern w:val="0"/>
          <w:sz w:val="32"/>
          <w:szCs w:val="32"/>
          <w:highlight w:val="none"/>
          <w:u w:val="none"/>
        </w:rPr>
      </w:pPr>
      <w:r>
        <w:rPr>
          <w:rFonts w:hint="eastAsia" w:ascii="黑体" w:hAnsi="黑体" w:eastAsia="黑体"/>
          <w:color w:val="auto"/>
          <w:kern w:val="0"/>
          <w:sz w:val="32"/>
          <w:szCs w:val="32"/>
          <w:highlight w:val="none"/>
          <w:u w:val="none"/>
        </w:rPr>
        <w:t>第四章  附则</w:t>
      </w:r>
    </w:p>
    <w:p>
      <w:pPr>
        <w:widowControl/>
        <w:wordWrap w:val="0"/>
        <w:spacing w:line="560" w:lineRule="exact"/>
        <w:ind w:firstLine="640" w:firstLineChars="200"/>
        <w:rPr>
          <w:rFonts w:ascii="黑体" w:hAnsi="黑体" w:eastAsia="黑体"/>
          <w:color w:val="auto"/>
          <w:kern w:val="0"/>
          <w:sz w:val="32"/>
          <w:szCs w:val="32"/>
          <w:highlight w:val="none"/>
          <w:u w:val="none"/>
        </w:rPr>
      </w:pPr>
    </w:p>
    <w:p>
      <w:pPr>
        <w:widowControl/>
        <w:spacing w:line="560" w:lineRule="exact"/>
        <w:ind w:firstLine="640" w:firstLineChars="200"/>
        <w:rPr>
          <w:rFonts w:ascii="仿宋" w:hAnsi="仿宋" w:eastAsia="仿宋"/>
          <w:color w:val="auto"/>
          <w:kern w:val="0"/>
          <w:sz w:val="32"/>
          <w:szCs w:val="32"/>
          <w:highlight w:val="none"/>
          <w:u w:val="none"/>
        </w:rPr>
      </w:pPr>
      <w:r>
        <w:rPr>
          <w:rFonts w:hint="eastAsia" w:ascii="楷体" w:hAnsi="楷体" w:eastAsia="楷体" w:cs="楷体"/>
          <w:color w:val="auto"/>
          <w:kern w:val="0"/>
          <w:sz w:val="32"/>
          <w:szCs w:val="32"/>
          <w:highlight w:val="none"/>
          <w:u w:val="none"/>
        </w:rPr>
        <w:t>第二十</w:t>
      </w:r>
      <w:r>
        <w:rPr>
          <w:rFonts w:hint="eastAsia" w:ascii="楷体" w:hAnsi="楷体" w:eastAsia="楷体" w:cs="楷体"/>
          <w:color w:val="auto"/>
          <w:kern w:val="0"/>
          <w:sz w:val="32"/>
          <w:szCs w:val="32"/>
          <w:highlight w:val="none"/>
          <w:u w:val="none"/>
          <w:lang w:eastAsia="zh-CN"/>
        </w:rPr>
        <w:t>七</w:t>
      </w:r>
      <w:r>
        <w:rPr>
          <w:rFonts w:hint="eastAsia" w:ascii="楷体" w:hAnsi="楷体" w:eastAsia="楷体" w:cs="楷体"/>
          <w:color w:val="auto"/>
          <w:kern w:val="0"/>
          <w:sz w:val="32"/>
          <w:szCs w:val="32"/>
          <w:highlight w:val="none"/>
          <w:u w:val="none"/>
        </w:rPr>
        <w:t>条</w:t>
      </w:r>
      <w:r>
        <w:rPr>
          <w:rFonts w:hint="eastAsia" w:ascii="黑体" w:hAnsi="黑体" w:eastAsia="黑体"/>
          <w:color w:val="auto"/>
          <w:kern w:val="0"/>
          <w:sz w:val="32"/>
          <w:szCs w:val="32"/>
          <w:highlight w:val="none"/>
          <w:u w:val="none"/>
        </w:rPr>
        <w:t xml:space="preserve"> </w:t>
      </w:r>
      <w:r>
        <w:rPr>
          <w:rFonts w:hint="eastAsia" w:ascii="仿宋" w:hAnsi="仿宋" w:eastAsia="仿宋"/>
          <w:color w:val="auto"/>
          <w:kern w:val="0"/>
          <w:sz w:val="32"/>
          <w:szCs w:val="32"/>
          <w:highlight w:val="none"/>
          <w:u w:val="none"/>
        </w:rPr>
        <w:t>本</w:t>
      </w:r>
      <w:r>
        <w:rPr>
          <w:rFonts w:hint="eastAsia" w:ascii="仿宋" w:hAnsi="仿宋" w:eastAsia="仿宋"/>
          <w:color w:val="auto"/>
          <w:kern w:val="0"/>
          <w:sz w:val="32"/>
          <w:szCs w:val="32"/>
          <w:highlight w:val="none"/>
          <w:u w:val="none"/>
          <w:lang w:eastAsia="zh-CN"/>
        </w:rPr>
        <w:t>细则</w:t>
      </w:r>
      <w:r>
        <w:rPr>
          <w:rFonts w:hint="eastAsia" w:ascii="仿宋" w:hAnsi="仿宋" w:eastAsia="仿宋"/>
          <w:color w:val="auto"/>
          <w:kern w:val="0"/>
          <w:sz w:val="32"/>
          <w:szCs w:val="32"/>
          <w:highlight w:val="none"/>
          <w:u w:val="none"/>
        </w:rPr>
        <w:t>由天津市宁河区民政局负责解释。</w:t>
      </w:r>
    </w:p>
    <w:p>
      <w:pPr>
        <w:widowControl/>
        <w:wordWrap w:val="0"/>
        <w:spacing w:line="560" w:lineRule="exact"/>
        <w:ind w:firstLine="640" w:firstLineChars="200"/>
        <w:rPr>
          <w:rFonts w:ascii="Times New Roman" w:hAnsi="Times New Roman" w:eastAsia="仿宋" w:cs="Times New Roman"/>
          <w:bCs/>
          <w:color w:val="auto"/>
          <w:sz w:val="32"/>
          <w:szCs w:val="32"/>
          <w:highlight w:val="none"/>
          <w:u w:val="none"/>
        </w:rPr>
        <w:sectPr>
          <w:footerReference r:id="rId3" w:type="default"/>
          <w:pgSz w:w="11906" w:h="16838"/>
          <w:pgMar w:top="2098" w:right="1531" w:bottom="1985" w:left="1531" w:header="851" w:footer="992" w:gutter="0"/>
          <w:cols w:space="425" w:num="1"/>
          <w:docGrid w:type="lines" w:linePitch="312" w:charSpace="0"/>
        </w:sectPr>
      </w:pPr>
      <w:r>
        <w:rPr>
          <w:rFonts w:hint="eastAsia" w:ascii="楷体" w:hAnsi="楷体" w:eastAsia="楷体" w:cs="楷体"/>
          <w:color w:val="auto"/>
          <w:kern w:val="0"/>
          <w:sz w:val="32"/>
          <w:szCs w:val="32"/>
          <w:highlight w:val="none"/>
          <w:u w:val="none"/>
        </w:rPr>
        <w:t xml:space="preserve">第二十八条 </w:t>
      </w:r>
      <w:r>
        <w:rPr>
          <w:rFonts w:hint="eastAsia" w:ascii="仿宋" w:hAnsi="仿宋" w:eastAsia="仿宋"/>
          <w:color w:val="auto"/>
          <w:kern w:val="0"/>
          <w:sz w:val="32"/>
          <w:szCs w:val="32"/>
          <w:highlight w:val="none"/>
          <w:u w:val="none"/>
        </w:rPr>
        <w:t>本</w:t>
      </w:r>
      <w:r>
        <w:rPr>
          <w:rFonts w:hint="eastAsia" w:ascii="仿宋" w:hAnsi="仿宋" w:eastAsia="仿宋"/>
          <w:color w:val="auto"/>
          <w:kern w:val="0"/>
          <w:sz w:val="32"/>
          <w:szCs w:val="32"/>
          <w:highlight w:val="none"/>
          <w:u w:val="none"/>
          <w:lang w:eastAsia="zh-CN"/>
        </w:rPr>
        <w:t>细则</w:t>
      </w:r>
      <w:r>
        <w:rPr>
          <w:rFonts w:hint="eastAsia" w:ascii="仿宋" w:hAnsi="仿宋" w:eastAsia="仿宋"/>
          <w:color w:val="auto"/>
          <w:kern w:val="0"/>
          <w:sz w:val="32"/>
          <w:szCs w:val="32"/>
          <w:highlight w:val="none"/>
          <w:u w:val="none"/>
        </w:rPr>
        <w:t>自</w:t>
      </w:r>
      <w:r>
        <w:rPr>
          <w:rFonts w:hint="eastAsia" w:eastAsia="仿宋"/>
          <w:color w:val="auto"/>
          <w:kern w:val="0"/>
          <w:sz w:val="32"/>
          <w:szCs w:val="32"/>
          <w:highlight w:val="none"/>
          <w:u w:val="none"/>
          <w:lang w:eastAsia="zh-CN"/>
        </w:rPr>
        <w:t>印发之</w:t>
      </w:r>
      <w:r>
        <w:rPr>
          <w:rFonts w:hint="eastAsia" w:ascii="仿宋" w:hAnsi="仿宋" w:eastAsia="仿宋"/>
          <w:color w:val="auto"/>
          <w:kern w:val="0"/>
          <w:sz w:val="32"/>
          <w:szCs w:val="32"/>
          <w:highlight w:val="none"/>
          <w:u w:val="none"/>
        </w:rPr>
        <w:t>日起施行，有效期五年。原《天津市宁河区社会救助家庭经济状况核定办法实施细则（试行）》（津宁民规字〔</w:t>
      </w:r>
      <w:r>
        <w:rPr>
          <w:rFonts w:ascii="Times New Roman" w:hAnsi="Times New Roman"/>
          <w:color w:val="auto"/>
          <w:kern w:val="0"/>
          <w:sz w:val="32"/>
          <w:szCs w:val="32"/>
          <w:highlight w:val="none"/>
          <w:u w:val="none"/>
        </w:rPr>
        <w:t>201</w:t>
      </w:r>
      <w:r>
        <w:rPr>
          <w:rFonts w:hint="eastAsia" w:ascii="Times New Roman" w:hAnsi="Times New Roman"/>
          <w:color w:val="auto"/>
          <w:kern w:val="0"/>
          <w:sz w:val="32"/>
          <w:szCs w:val="32"/>
          <w:highlight w:val="none"/>
          <w:u w:val="none"/>
        </w:rPr>
        <w:t>8</w:t>
      </w:r>
      <w:r>
        <w:rPr>
          <w:rFonts w:hint="eastAsia" w:ascii="仿宋" w:hAnsi="仿宋" w:eastAsia="仿宋"/>
          <w:color w:val="auto"/>
          <w:kern w:val="0"/>
          <w:sz w:val="32"/>
          <w:szCs w:val="32"/>
          <w:highlight w:val="none"/>
          <w:u w:val="none"/>
        </w:rPr>
        <w:t>〕</w:t>
      </w:r>
      <w:r>
        <w:rPr>
          <w:rFonts w:hint="eastAsia" w:ascii="Times New Roman" w:hAnsi="Times New Roman"/>
          <w:color w:val="auto"/>
          <w:kern w:val="0"/>
          <w:sz w:val="32"/>
          <w:szCs w:val="32"/>
          <w:highlight w:val="none"/>
          <w:u w:val="none"/>
        </w:rPr>
        <w:t>1</w:t>
      </w:r>
      <w:r>
        <w:rPr>
          <w:rFonts w:hint="eastAsia" w:ascii="仿宋" w:hAnsi="仿宋" w:eastAsia="仿宋"/>
          <w:color w:val="auto"/>
          <w:kern w:val="0"/>
          <w:sz w:val="32"/>
          <w:szCs w:val="32"/>
          <w:highlight w:val="none"/>
          <w:u w:val="none"/>
        </w:rPr>
        <w:t>号）同时废止。现行社会救助政策中有关家庭经济状况核定的规定与本</w:t>
      </w:r>
      <w:r>
        <w:rPr>
          <w:rFonts w:hint="eastAsia" w:ascii="仿宋" w:hAnsi="仿宋" w:eastAsia="仿宋"/>
          <w:color w:val="auto"/>
          <w:kern w:val="0"/>
          <w:sz w:val="32"/>
          <w:szCs w:val="32"/>
          <w:highlight w:val="none"/>
          <w:u w:val="none"/>
          <w:lang w:eastAsia="zh-CN"/>
        </w:rPr>
        <w:t>细则</w:t>
      </w:r>
      <w:r>
        <w:rPr>
          <w:rFonts w:hint="eastAsia" w:ascii="仿宋" w:hAnsi="仿宋" w:eastAsia="仿宋"/>
          <w:color w:val="auto"/>
          <w:kern w:val="0"/>
          <w:sz w:val="32"/>
          <w:szCs w:val="32"/>
          <w:highlight w:val="none"/>
          <w:u w:val="none"/>
        </w:rPr>
        <w:t>不一致的，按照本</w:t>
      </w:r>
      <w:r>
        <w:rPr>
          <w:rFonts w:hint="eastAsia" w:ascii="仿宋" w:hAnsi="仿宋" w:eastAsia="仿宋"/>
          <w:color w:val="auto"/>
          <w:kern w:val="0"/>
          <w:sz w:val="32"/>
          <w:szCs w:val="32"/>
          <w:highlight w:val="none"/>
          <w:u w:val="none"/>
          <w:lang w:eastAsia="zh-CN"/>
        </w:rPr>
        <w:t>细则</w:t>
      </w:r>
      <w:r>
        <w:rPr>
          <w:rFonts w:hint="eastAsia" w:ascii="仿宋" w:hAnsi="仿宋" w:eastAsia="仿宋"/>
          <w:color w:val="auto"/>
          <w:kern w:val="0"/>
          <w:sz w:val="32"/>
          <w:szCs w:val="32"/>
          <w:highlight w:val="none"/>
          <w:u w:val="none"/>
        </w:rPr>
        <w:t>执行</w:t>
      </w:r>
    </w:p>
    <w:p>
      <w:pPr>
        <w:rPr>
          <w:color w:val="auto"/>
          <w:highlight w:val="none"/>
          <w:u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oto Sans Mono CJK JP Bold">
    <w:altName w:val="华文仿宋"/>
    <w:panose1 w:val="00000000000000000000"/>
    <w:charset w:val="00"/>
    <w:family w:val="swiss"/>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DUwNjU3MWNiOTk2NTYzMzVkYTc1YTdkODA3YzcifQ=="/>
  </w:docVars>
  <w:rsids>
    <w:rsidRoot w:val="2A4A1D9F"/>
    <w:rsid w:val="02E525BF"/>
    <w:rsid w:val="085C5337"/>
    <w:rsid w:val="1AD26B76"/>
    <w:rsid w:val="26821513"/>
    <w:rsid w:val="2A4A1D9F"/>
    <w:rsid w:val="2FF25B44"/>
    <w:rsid w:val="308800CE"/>
    <w:rsid w:val="31ED4F37"/>
    <w:rsid w:val="398C4450"/>
    <w:rsid w:val="485570CA"/>
    <w:rsid w:val="526B5CD8"/>
    <w:rsid w:val="5F0E6369"/>
    <w:rsid w:val="6564273F"/>
    <w:rsid w:val="6B881251"/>
    <w:rsid w:val="7A41719B"/>
    <w:rsid w:val="7A533FB1"/>
    <w:rsid w:val="D93FD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napToGrid w:val="0"/>
      <w:spacing w:line="240" w:lineRule="atLeast"/>
      <w:jc w:val="left"/>
    </w:pPr>
    <w:rPr>
      <w:rFonts w:ascii="Times New Roman" w:hAnsi="Times New Roman" w:eastAsia="宋体" w:cs="Times New Roman"/>
      <w:sz w:val="18"/>
      <w:szCs w:val="18"/>
    </w:rPr>
  </w:style>
  <w:style w:type="paragraph" w:customStyle="1" w:styleId="5">
    <w:name w:val="普通(网站)1"/>
    <w:basedOn w:val="1"/>
    <w:qFormat/>
    <w:uiPriority w:val="0"/>
    <w:pPr>
      <w:widowControl/>
      <w:jc w:val="left"/>
    </w:pPr>
    <w:rPr>
      <w:rFonts w:ascii="宋体" w:hAnsi="宋体" w:cs="宋体"/>
      <w:kern w:val="0"/>
      <w:sz w:val="24"/>
    </w:rPr>
  </w:style>
  <w:style w:type="paragraph" w:customStyle="1" w:styleId="6">
    <w:name w:val="Table Paragraph"/>
    <w:basedOn w:val="1"/>
    <w:qFormat/>
    <w:uiPriority w:val="0"/>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8480</Words>
  <Characters>8789</Characters>
  <Lines>0</Lines>
  <Paragraphs>0</Paragraphs>
  <TotalTime>3</TotalTime>
  <ScaleCrop>false</ScaleCrop>
  <LinksUpToDate>false</LinksUpToDate>
  <CharactersWithSpaces>8956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2022-03-21T16:27:00Z</dcterms:created>
  <dc:creator>大晨晨</dc:creator>
  <cp:lastModifiedBy>greatwall</cp:lastModifiedBy>
  <dcterms:modified xsi:type="dcterms:W3CDTF">2023-06-02T11:39:27Z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A3C87819AE334E748F71353C89E69B83</vt:lpwstr>
  </property>
</Properties>
</file>