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right"/>
        <w:rPr>
          <w:rFonts w:hint="eastAsia"/>
          <w:sz w:val="52"/>
          <w:szCs w:val="52"/>
          <w:highlight w:val="none"/>
        </w:rPr>
      </w:pPr>
    </w:p>
    <w:p>
      <w:pPr>
        <w:pStyle w:val="3"/>
        <w:tabs>
          <w:tab w:val="left" w:pos="603"/>
        </w:tabs>
        <w:rPr>
          <w:rFonts w:eastAsia="仿宋_GB2312"/>
          <w:szCs w:val="32"/>
          <w:highlight w:val="none"/>
        </w:rPr>
      </w:pPr>
      <w:r>
        <w:rPr>
          <w:rFonts w:hint="eastAsia" w:eastAsia="仿宋_GB2312"/>
          <w:szCs w:val="32"/>
          <w:highlight w:val="none"/>
        </w:rPr>
        <w:t xml:space="preserve">    （此件主动公开）</w:t>
      </w:r>
    </w:p>
    <w:p>
      <w:pPr>
        <w:shd w:val="clear" w:color="auto" w:fill="FFFFFF"/>
        <w:spacing w:line="560" w:lineRule="exact"/>
        <w:jc w:val="center"/>
        <w:rPr>
          <w:rFonts w:hint="eastAsia" w:ascii="方正小标宋简体" w:eastAsia="方正小标宋简体"/>
          <w:kern w:val="0"/>
          <w:sz w:val="32"/>
          <w:szCs w:val="32"/>
          <w:highlight w:val="none"/>
        </w:rPr>
      </w:pPr>
      <w:r>
        <w:rPr>
          <w:rFonts w:hint="eastAsia" w:ascii="方正小标宋简体" w:hAnsi="文星标宋" w:eastAsia="方正小标宋简体"/>
          <w:kern w:val="0"/>
          <w:sz w:val="44"/>
          <w:szCs w:val="44"/>
          <w:highlight w:val="none"/>
          <w:lang w:eastAsia="zh-CN"/>
        </w:rPr>
        <w:t>宁河区国资委监管企业</w:t>
      </w:r>
    </w:p>
    <w:p>
      <w:pPr>
        <w:shd w:val="clear" w:color="auto" w:fill="FFFFFF"/>
        <w:spacing w:line="560" w:lineRule="exact"/>
        <w:jc w:val="center"/>
        <w:rPr>
          <w:rFonts w:hint="eastAsia" w:ascii="方正小标宋简体" w:hAnsi="文星标宋" w:eastAsia="方正小标宋简体"/>
          <w:kern w:val="0"/>
          <w:sz w:val="44"/>
          <w:szCs w:val="44"/>
          <w:highlight w:val="none"/>
          <w:lang w:eastAsia="zh-CN"/>
        </w:rPr>
      </w:pPr>
      <w:r>
        <w:rPr>
          <w:rFonts w:hint="eastAsia" w:ascii="方正小标宋简体" w:hAnsi="文星标宋" w:eastAsia="方正小标宋简体"/>
          <w:kern w:val="0"/>
          <w:sz w:val="44"/>
          <w:szCs w:val="44"/>
          <w:highlight w:val="none"/>
        </w:rPr>
        <w:t>违规经营投资责任追究</w:t>
      </w:r>
      <w:r>
        <w:rPr>
          <w:rFonts w:hint="eastAsia" w:ascii="方正小标宋简体" w:hAnsi="文星标宋" w:eastAsia="方正小标宋简体"/>
          <w:kern w:val="0"/>
          <w:sz w:val="44"/>
          <w:szCs w:val="44"/>
          <w:highlight w:val="none"/>
          <w:lang w:eastAsia="zh-CN"/>
        </w:rPr>
        <w:t>试行办法</w:t>
      </w:r>
    </w:p>
    <w:p>
      <w:pPr>
        <w:pStyle w:val="2"/>
        <w:jc w:val="center"/>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（征求意见稿）</w:t>
      </w:r>
    </w:p>
    <w:p>
      <w:pPr>
        <w:shd w:val="clear" w:color="auto" w:fill="FFFFFF"/>
        <w:spacing w:line="560" w:lineRule="exact"/>
        <w:jc w:val="center"/>
        <w:rPr>
          <w:kern w:val="0"/>
          <w:sz w:val="32"/>
          <w:szCs w:val="32"/>
          <w:highlight w:val="none"/>
        </w:rPr>
      </w:pPr>
      <w:r>
        <w:rPr>
          <w:rFonts w:hint="eastAsia" w:ascii="黑体" w:hAnsi="黑体" w:eastAsia="黑体"/>
          <w:kern w:val="0"/>
          <w:sz w:val="32"/>
          <w:szCs w:val="32"/>
          <w:highlight w:val="none"/>
        </w:rPr>
        <w:t>第一章</w:t>
      </w:r>
      <w:r>
        <w:rPr>
          <w:rFonts w:hint="eastAsia" w:ascii="宋体" w:hAnsi="宋体" w:cs="宋体"/>
          <w:kern w:val="0"/>
          <w:sz w:val="32"/>
          <w:szCs w:val="32"/>
          <w:highlight w:val="none"/>
        </w:rPr>
        <w:t> </w:t>
      </w:r>
      <w:r>
        <w:rPr>
          <w:rFonts w:hint="eastAsia" w:ascii="宋体" w:hAnsi="宋体" w:cs="宋体"/>
          <w:kern w:val="0"/>
          <w:sz w:val="32"/>
          <w:highlight w:val="none"/>
        </w:rPr>
        <w:t> </w:t>
      </w:r>
      <w:r>
        <w:rPr>
          <w:rFonts w:hint="eastAsia" w:ascii="黑体" w:hAnsi="黑体" w:eastAsia="黑体"/>
          <w:kern w:val="0"/>
          <w:sz w:val="32"/>
          <w:szCs w:val="32"/>
          <w:highlight w:val="none"/>
        </w:rPr>
        <w:t>总则</w:t>
      </w:r>
    </w:p>
    <w:p>
      <w:pPr>
        <w:shd w:val="clear" w:color="auto" w:fill="FFFFFF"/>
        <w:spacing w:line="560" w:lineRule="exact"/>
        <w:rPr>
          <w:kern w:val="0"/>
          <w:sz w:val="32"/>
          <w:szCs w:val="32"/>
          <w:highlight w:val="none"/>
        </w:rPr>
      </w:pPr>
      <w:r>
        <w:rPr>
          <w:kern w:val="0"/>
          <w:sz w:val="32"/>
          <w:szCs w:val="32"/>
          <w:highlight w:val="none"/>
        </w:rPr>
        <w:t> </w:t>
      </w:r>
    </w:p>
    <w:p>
      <w:pPr>
        <w:shd w:val="clear" w:color="auto" w:fill="FFFFFF"/>
        <w:spacing w:line="560" w:lineRule="exact"/>
        <w:rPr>
          <w:b w:val="0"/>
          <w:bCs w:val="0"/>
          <w:kern w:val="0"/>
          <w:sz w:val="32"/>
          <w:szCs w:val="32"/>
          <w:highlight w:val="none"/>
          <w:u w:val="none"/>
        </w:rPr>
      </w:pPr>
      <w:r>
        <w:rPr>
          <w:rFonts w:hint="eastAsia" w:ascii="仿宋_GB2312" w:eastAsia="仿宋_GB2312"/>
          <w:kern w:val="0"/>
          <w:sz w:val="32"/>
          <w:szCs w:val="32"/>
          <w:highlight w:val="none"/>
        </w:rPr>
        <w:t>　　</w:t>
      </w:r>
      <w:r>
        <w:rPr>
          <w:rFonts w:hint="eastAsia" w:ascii="黑体" w:hAnsi="黑体" w:eastAsia="黑体"/>
          <w:kern w:val="0"/>
          <w:sz w:val="32"/>
          <w:szCs w:val="32"/>
          <w:highlight w:val="none"/>
        </w:rPr>
        <w:t>第一条</w:t>
      </w:r>
      <w:r>
        <w:rPr>
          <w:kern w:val="0"/>
          <w:sz w:val="32"/>
          <w:szCs w:val="32"/>
          <w:highlight w:val="none"/>
        </w:rPr>
        <w:t> </w:t>
      </w:r>
      <w:r>
        <w:rPr>
          <w:kern w:val="0"/>
          <w:sz w:val="32"/>
          <w:highlight w:val="none"/>
          <w:u w:val="none"/>
        </w:rPr>
        <w:t> </w:t>
      </w:r>
      <w:r>
        <w:rPr>
          <w:rFonts w:hint="eastAsia"/>
          <w:kern w:val="0"/>
          <w:sz w:val="32"/>
          <w:highlight w:val="none"/>
          <w:u w:val="none"/>
          <w:lang w:val="en-US" w:eastAsia="zh-CN"/>
        </w:rPr>
        <w:t xml:space="preserve"> </w:t>
      </w:r>
      <w:r>
        <w:rPr>
          <w:rFonts w:hint="eastAsia" w:ascii="仿宋_GB2312" w:eastAsia="仿宋_GB2312"/>
          <w:b w:val="0"/>
          <w:bCs w:val="0"/>
          <w:kern w:val="0"/>
          <w:sz w:val="32"/>
          <w:szCs w:val="32"/>
          <w:highlight w:val="none"/>
          <w:u w:val="none"/>
        </w:rPr>
        <w:t>为</w:t>
      </w:r>
      <w:r>
        <w:rPr>
          <w:rFonts w:hint="eastAsia" w:ascii="仿宋_GB2312" w:eastAsia="仿宋_GB2312"/>
          <w:b w:val="0"/>
          <w:bCs w:val="0"/>
          <w:kern w:val="0"/>
          <w:sz w:val="32"/>
          <w:szCs w:val="32"/>
          <w:highlight w:val="none"/>
          <w:u w:val="none"/>
          <w:lang w:eastAsia="zh-CN"/>
        </w:rPr>
        <w:t>进一步</w:t>
      </w:r>
      <w:r>
        <w:rPr>
          <w:rFonts w:hint="eastAsia" w:ascii="仿宋_GB2312" w:eastAsia="仿宋_GB2312"/>
          <w:b w:val="0"/>
          <w:bCs w:val="0"/>
          <w:kern w:val="0"/>
          <w:sz w:val="32"/>
          <w:szCs w:val="32"/>
          <w:highlight w:val="none"/>
          <w:u w:val="none"/>
        </w:rPr>
        <w:t>落实国有资产保值增值责任，</w:t>
      </w:r>
      <w:r>
        <w:rPr>
          <w:rFonts w:hint="eastAsia" w:ascii="仿宋_GB2312" w:eastAsia="仿宋_GB2312"/>
          <w:b w:val="0"/>
          <w:bCs w:val="0"/>
          <w:kern w:val="0"/>
          <w:sz w:val="32"/>
          <w:szCs w:val="32"/>
          <w:highlight w:val="none"/>
          <w:u w:val="none"/>
          <w:lang w:eastAsia="zh-CN"/>
        </w:rPr>
        <w:t>完善</w:t>
      </w:r>
      <w:r>
        <w:rPr>
          <w:rFonts w:hint="eastAsia" w:ascii="仿宋_GB2312" w:eastAsia="仿宋_GB2312"/>
          <w:b w:val="0"/>
          <w:bCs w:val="0"/>
          <w:kern w:val="0"/>
          <w:sz w:val="32"/>
          <w:szCs w:val="32"/>
          <w:highlight w:val="none"/>
          <w:u w:val="none"/>
        </w:rPr>
        <w:t>国有资产</w:t>
      </w:r>
      <w:r>
        <w:rPr>
          <w:rFonts w:hint="eastAsia" w:ascii="仿宋_GB2312" w:eastAsia="仿宋_GB2312"/>
          <w:b w:val="0"/>
          <w:bCs w:val="0"/>
          <w:kern w:val="0"/>
          <w:sz w:val="32"/>
          <w:szCs w:val="32"/>
          <w:highlight w:val="none"/>
          <w:u w:val="none"/>
          <w:lang w:eastAsia="zh-CN"/>
        </w:rPr>
        <w:t>监督管理制度</w:t>
      </w:r>
      <w:r>
        <w:rPr>
          <w:rFonts w:hint="eastAsia" w:ascii="仿宋_GB2312" w:eastAsia="仿宋_GB2312"/>
          <w:b w:val="0"/>
          <w:bCs w:val="0"/>
          <w:kern w:val="0"/>
          <w:sz w:val="32"/>
          <w:szCs w:val="32"/>
          <w:highlight w:val="none"/>
          <w:u w:val="none"/>
        </w:rPr>
        <w:t>，</w:t>
      </w:r>
      <w:r>
        <w:rPr>
          <w:rFonts w:hint="eastAsia" w:ascii="仿宋_GB2312" w:eastAsia="仿宋_GB2312"/>
          <w:b w:val="0"/>
          <w:bCs w:val="0"/>
          <w:kern w:val="0"/>
          <w:sz w:val="32"/>
          <w:szCs w:val="32"/>
          <w:highlight w:val="none"/>
          <w:u w:val="none"/>
          <w:lang w:eastAsia="zh-CN"/>
        </w:rPr>
        <w:t>有效</w:t>
      </w:r>
      <w:r>
        <w:rPr>
          <w:rFonts w:hint="eastAsia" w:ascii="仿宋_GB2312" w:eastAsia="仿宋_GB2312"/>
          <w:b w:val="0"/>
          <w:bCs w:val="0"/>
          <w:kern w:val="0"/>
          <w:sz w:val="32"/>
          <w:szCs w:val="32"/>
          <w:highlight w:val="none"/>
          <w:u w:val="none"/>
        </w:rPr>
        <w:t>防止国有资产流失，根据《中华人民共和国公司法》《中华人民共和国企业国有资产法》</w:t>
      </w:r>
      <w:r>
        <w:rPr>
          <w:rFonts w:hint="eastAsia" w:ascii="仿宋_GB2312" w:eastAsia="仿宋_GB2312"/>
          <w:b w:val="0"/>
          <w:bCs w:val="0"/>
          <w:kern w:val="0"/>
          <w:sz w:val="32"/>
          <w:szCs w:val="32"/>
          <w:highlight w:val="none"/>
          <w:u w:val="none"/>
          <w:lang w:eastAsia="zh-CN"/>
        </w:rPr>
        <w:t>《国务院办公厅关于建立国有企业违规经营投资责任追究制度的意见》</w:t>
      </w:r>
      <w:r>
        <w:rPr>
          <w:rFonts w:hint="eastAsia" w:ascii="仿宋_GB2312" w:eastAsia="仿宋_GB2312"/>
          <w:b w:val="0"/>
          <w:bCs w:val="0"/>
          <w:kern w:val="0"/>
          <w:sz w:val="32"/>
          <w:szCs w:val="32"/>
          <w:highlight w:val="none"/>
          <w:u w:val="none"/>
        </w:rPr>
        <w:t>等法律法规和文件规定，</w:t>
      </w:r>
      <w:r>
        <w:rPr>
          <w:rFonts w:hint="eastAsia" w:ascii="仿宋_GB2312" w:eastAsia="仿宋_GB2312"/>
          <w:b w:val="0"/>
          <w:bCs w:val="0"/>
          <w:kern w:val="0"/>
          <w:sz w:val="32"/>
          <w:szCs w:val="32"/>
          <w:highlight w:val="none"/>
          <w:u w:val="none"/>
          <w:lang w:eastAsia="zh-CN"/>
        </w:rPr>
        <w:t>参照《天津市国资委监管企业违规经营投资责任追究办法（试行）》，</w:t>
      </w:r>
      <w:r>
        <w:rPr>
          <w:rFonts w:hint="eastAsia" w:ascii="仿宋_GB2312" w:eastAsia="仿宋_GB2312"/>
          <w:b w:val="0"/>
          <w:bCs w:val="0"/>
          <w:kern w:val="0"/>
          <w:sz w:val="32"/>
          <w:szCs w:val="32"/>
          <w:highlight w:val="none"/>
          <w:u w:val="none"/>
        </w:rPr>
        <w:t>结合</w:t>
      </w:r>
      <w:r>
        <w:rPr>
          <w:rFonts w:hint="eastAsia" w:ascii="仿宋_GB2312" w:eastAsia="仿宋_GB2312"/>
          <w:b w:val="0"/>
          <w:bCs w:val="0"/>
          <w:kern w:val="0"/>
          <w:sz w:val="32"/>
          <w:szCs w:val="32"/>
          <w:highlight w:val="none"/>
          <w:u w:val="none"/>
          <w:lang w:eastAsia="zh-CN"/>
        </w:rPr>
        <w:t>我区工作</w:t>
      </w:r>
      <w:r>
        <w:rPr>
          <w:rFonts w:hint="eastAsia" w:ascii="仿宋_GB2312" w:eastAsia="仿宋_GB2312"/>
          <w:b w:val="0"/>
          <w:bCs w:val="0"/>
          <w:kern w:val="0"/>
          <w:sz w:val="32"/>
          <w:szCs w:val="32"/>
          <w:highlight w:val="none"/>
          <w:u w:val="none"/>
        </w:rPr>
        <w:t>实际情况，制定本</w:t>
      </w:r>
      <w:r>
        <w:rPr>
          <w:rFonts w:hint="eastAsia" w:ascii="仿宋_GB2312" w:eastAsia="仿宋_GB2312"/>
          <w:b w:val="0"/>
          <w:bCs w:val="0"/>
          <w:kern w:val="0"/>
          <w:sz w:val="32"/>
          <w:szCs w:val="32"/>
          <w:highlight w:val="none"/>
          <w:u w:val="none"/>
          <w:lang w:eastAsia="zh-CN"/>
        </w:rPr>
        <w:t>办法</w:t>
      </w:r>
      <w:r>
        <w:rPr>
          <w:rFonts w:hint="eastAsia" w:ascii="仿宋_GB2312" w:eastAsia="仿宋_GB2312"/>
          <w:b w:val="0"/>
          <w:bCs w:val="0"/>
          <w:kern w:val="0"/>
          <w:sz w:val="32"/>
          <w:szCs w:val="32"/>
          <w:highlight w:val="none"/>
          <w:u w:val="none"/>
        </w:rPr>
        <w:t>。</w:t>
      </w:r>
    </w:p>
    <w:p>
      <w:pPr>
        <w:shd w:val="clear" w:color="auto" w:fill="FFFFFF"/>
        <w:spacing w:line="560" w:lineRule="exact"/>
        <w:ind w:firstLine="651"/>
        <w:rPr>
          <w:rFonts w:hint="eastAsia" w:ascii="仿宋_GB2312" w:eastAsia="仿宋_GB2312"/>
          <w:b w:val="0"/>
          <w:bCs w:val="0"/>
          <w:color w:val="auto"/>
          <w:sz w:val="32"/>
          <w:szCs w:val="32"/>
          <w:highlight w:val="none"/>
          <w:u w:val="none"/>
          <w:lang w:eastAsia="zh-CN"/>
        </w:rPr>
      </w:pPr>
      <w:r>
        <w:rPr>
          <w:rFonts w:hint="eastAsia" w:ascii="黑体" w:hAnsi="黑体" w:eastAsia="黑体"/>
          <w:kern w:val="0"/>
          <w:sz w:val="32"/>
          <w:szCs w:val="32"/>
          <w:highlight w:val="none"/>
          <w:u w:val="none"/>
        </w:rPr>
        <w:t>第二条</w:t>
      </w:r>
      <w:r>
        <w:rPr>
          <w:kern w:val="0"/>
          <w:sz w:val="32"/>
          <w:szCs w:val="32"/>
          <w:highlight w:val="none"/>
          <w:u w:val="none"/>
        </w:rPr>
        <w:t> </w:t>
      </w:r>
      <w:r>
        <w:rPr>
          <w:kern w:val="0"/>
          <w:sz w:val="32"/>
          <w:highlight w:val="none"/>
          <w:u w:val="none"/>
        </w:rPr>
        <w:t> </w:t>
      </w:r>
      <w:r>
        <w:rPr>
          <w:rFonts w:hint="eastAsia"/>
          <w:kern w:val="0"/>
          <w:sz w:val="32"/>
          <w:highlight w:val="none"/>
          <w:u w:val="none"/>
          <w:lang w:val="en-US" w:eastAsia="zh-CN"/>
        </w:rPr>
        <w:t xml:space="preserve"> </w:t>
      </w:r>
      <w:r>
        <w:rPr>
          <w:rFonts w:hint="eastAsia" w:ascii="仿宋_GB2312" w:eastAsia="仿宋_GB2312"/>
          <w:b w:val="0"/>
          <w:bCs w:val="0"/>
          <w:color w:val="auto"/>
          <w:sz w:val="32"/>
          <w:szCs w:val="32"/>
          <w:highlight w:val="none"/>
          <w:u w:val="none"/>
          <w:lang w:eastAsia="zh-CN"/>
        </w:rPr>
        <w:t>本办法适用于天津市宁河区人民政府国有资产监督管理委员会（以下简称区国资委）履行出资人职责的国有企业及其所属各级全资企业、控股企业及分支机构。监管企业及其所属企业以下统称企业。</w:t>
      </w:r>
    </w:p>
    <w:p>
      <w:pPr>
        <w:shd w:val="clear" w:color="auto" w:fill="FFFFFF"/>
        <w:spacing w:line="560" w:lineRule="exact"/>
        <w:ind w:firstLine="651"/>
        <w:rPr>
          <w:rFonts w:hint="eastAsia" w:ascii="仿宋_GB2312" w:eastAsia="仿宋_GB2312"/>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eastAsia="zh-CN"/>
        </w:rPr>
        <w:t>第三条</w:t>
      </w:r>
      <w:r>
        <w:rPr>
          <w:rFonts w:hint="eastAsia" w:ascii="仿宋_GB2312" w:eastAsia="仿宋_GB2312"/>
          <w:b w:val="0"/>
          <w:bCs w:val="0"/>
          <w:color w:val="auto"/>
          <w:sz w:val="32"/>
          <w:szCs w:val="32"/>
          <w:highlight w:val="none"/>
          <w:u w:val="none"/>
          <w:lang w:val="en-US" w:eastAsia="zh-CN"/>
        </w:rPr>
        <w:t xml:space="preserve">  本办法所称违规经营投资责任追究（以下简称责任追究）是指企业经营管理有关人员违反规定，未履行或未正确履行职责，在经营投资中造成国有资产损失或其他严重不良后果，经调查核实和责任认定，对相关责任人进行处理的工作。</w:t>
      </w:r>
    </w:p>
    <w:p>
      <w:pPr>
        <w:shd w:val="clear" w:color="auto" w:fill="FFFFFF"/>
        <w:spacing w:line="560" w:lineRule="exact"/>
        <w:ind w:firstLine="651"/>
        <w:rPr>
          <w:rFonts w:hint="default"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前款所称规定，包括国家法律法规、天津市</w:t>
      </w:r>
      <w:bookmarkStart w:id="0" w:name="_GoBack"/>
      <w:bookmarkEnd w:id="0"/>
      <w:r>
        <w:rPr>
          <w:rFonts w:hint="eastAsia" w:ascii="仿宋_GB2312" w:eastAsia="仿宋_GB2312"/>
          <w:b w:val="0"/>
          <w:bCs w:val="0"/>
          <w:color w:val="auto"/>
          <w:sz w:val="32"/>
          <w:szCs w:val="32"/>
          <w:highlight w:val="none"/>
          <w:u w:val="none"/>
          <w:lang w:val="en-US" w:eastAsia="zh-CN"/>
        </w:rPr>
        <w:t>的地方性法规、国有资产监管规章制度和企业内部管理规定等。前款所称未履行职责，是指未在规定期限内或正当合理期限内行使职权、承担责任，一般包括不作为、拒绝履行职责、拖延履行职责等；未正确履行职责，是指未按规定以及岗位职责要求，不适当或不完全行使职权、承担责任，一般包括未按照程序行使职权、超越职权、滥用职权等。</w:t>
      </w:r>
    </w:p>
    <w:p>
      <w:pPr>
        <w:shd w:val="clear" w:color="auto" w:fill="FFFFFF"/>
        <w:spacing w:line="560" w:lineRule="exact"/>
        <w:ind w:firstLine="640" w:firstLineChars="200"/>
        <w:rPr>
          <w:kern w:val="0"/>
          <w:sz w:val="32"/>
          <w:szCs w:val="32"/>
          <w:highlight w:val="none"/>
          <w:u w:val="none"/>
        </w:rPr>
      </w:pPr>
      <w:r>
        <w:rPr>
          <w:rFonts w:hint="eastAsia" w:ascii="黑体" w:hAnsi="黑体" w:eastAsia="黑体" w:cs="黑体"/>
          <w:b w:val="0"/>
          <w:bCs w:val="0"/>
          <w:color w:val="auto"/>
          <w:sz w:val="32"/>
          <w:szCs w:val="32"/>
          <w:highlight w:val="none"/>
          <w:u w:val="none"/>
          <w:lang w:eastAsia="zh-CN"/>
        </w:rPr>
        <w:t>第四条</w:t>
      </w:r>
      <w:r>
        <w:rPr>
          <w:rFonts w:hint="eastAsia" w:ascii="仿宋_GB2312" w:eastAsia="仿宋_GB2312"/>
          <w:b w:val="0"/>
          <w:bCs w:val="0"/>
          <w:color w:val="auto"/>
          <w:sz w:val="32"/>
          <w:szCs w:val="32"/>
          <w:highlight w:val="none"/>
          <w:u w:val="none"/>
          <w:lang w:val="en-US" w:eastAsia="zh-CN"/>
        </w:rPr>
        <w:t xml:space="preserve"> </w:t>
      </w:r>
      <w:r>
        <w:rPr>
          <w:kern w:val="0"/>
          <w:sz w:val="32"/>
          <w:szCs w:val="32"/>
          <w:highlight w:val="none"/>
          <w:u w:val="none"/>
        </w:rPr>
        <w:t> </w:t>
      </w:r>
      <w:r>
        <w:rPr>
          <w:rFonts w:hint="eastAsia" w:ascii="仿宋_GB2312" w:eastAsia="仿宋_GB2312"/>
          <w:kern w:val="0"/>
          <w:sz w:val="32"/>
          <w:szCs w:val="32"/>
          <w:highlight w:val="none"/>
          <w:u w:val="none"/>
        </w:rPr>
        <w:t>责任追究工作应当遵循以下原则：</w:t>
      </w:r>
    </w:p>
    <w:p>
      <w:pPr>
        <w:shd w:val="clear" w:color="auto" w:fill="FFFFFF"/>
        <w:spacing w:line="560" w:lineRule="exact"/>
        <w:rPr>
          <w:kern w:val="0"/>
          <w:sz w:val="32"/>
          <w:szCs w:val="32"/>
          <w:highlight w:val="none"/>
          <w:u w:val="none"/>
        </w:rPr>
      </w:pPr>
      <w:r>
        <w:rPr>
          <w:rFonts w:hint="eastAsia" w:ascii="仿宋_GB2312" w:eastAsia="仿宋_GB2312"/>
          <w:kern w:val="0"/>
          <w:sz w:val="32"/>
          <w:szCs w:val="32"/>
          <w:highlight w:val="none"/>
          <w:u w:val="none"/>
        </w:rPr>
        <w:t>　　（一）坚持依法依规问责。以法律法规为准绳，按照国有资产监管规章制度和企业内部管理规定等，对违反规定、未履行或未正确履行职责造成国有资产损失或其他严重不良后果的企业经营管理有关人员，严肃追究责任，实行重大决策终身问责。</w:t>
      </w:r>
    </w:p>
    <w:p>
      <w:pPr>
        <w:shd w:val="clear" w:color="auto" w:fill="FFFFFF"/>
        <w:spacing w:line="560" w:lineRule="exact"/>
        <w:ind w:firstLine="640"/>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二）坚持客观公正定责。贯彻落实“三个区分开来”重要要求，结合企业实际情况，调查核实违规行为的事实、性质及其造成的损失和影响，既考虑量的标准也考虑质的不同，认定相关人员责任，保护企业经营管理有关人员干事创业的积极性，恰当公正地处理相关责任人。</w:t>
      </w:r>
    </w:p>
    <w:p>
      <w:pPr>
        <w:shd w:val="clear" w:color="auto" w:fill="FFFFFF"/>
        <w:spacing w:line="560" w:lineRule="exact"/>
        <w:ind w:firstLine="640"/>
        <w:rPr>
          <w:kern w:val="0"/>
          <w:sz w:val="32"/>
          <w:szCs w:val="32"/>
          <w:highlight w:val="none"/>
          <w:u w:val="none"/>
        </w:rPr>
      </w:pPr>
      <w:r>
        <w:rPr>
          <w:rFonts w:hint="eastAsia" w:ascii="仿宋_GB2312" w:eastAsia="仿宋_GB2312"/>
          <w:kern w:val="0"/>
          <w:sz w:val="32"/>
          <w:szCs w:val="32"/>
          <w:highlight w:val="none"/>
          <w:u w:val="none"/>
        </w:rPr>
        <w:t>（三</w:t>
      </w:r>
      <w:r>
        <w:rPr>
          <w:rFonts w:hint="eastAsia" w:ascii="仿宋_GB2312" w:eastAsia="仿宋_GB2312"/>
          <w:kern w:val="0"/>
          <w:sz w:val="32"/>
          <w:szCs w:val="32"/>
          <w:highlight w:val="none"/>
          <w:u w:val="none"/>
          <w:lang w:eastAsia="zh-CN"/>
        </w:rPr>
        <w:t>）</w:t>
      </w:r>
      <w:r>
        <w:rPr>
          <w:rFonts w:hint="eastAsia" w:ascii="仿宋_GB2312" w:eastAsia="仿宋_GB2312"/>
          <w:kern w:val="0"/>
          <w:sz w:val="32"/>
          <w:szCs w:val="32"/>
          <w:highlight w:val="none"/>
          <w:u w:val="none"/>
        </w:rPr>
        <w:t>坚持分级分层追责。</w:t>
      </w:r>
      <w:r>
        <w:rPr>
          <w:rFonts w:hint="eastAsia" w:ascii="仿宋_GB2312" w:eastAsia="仿宋_GB2312"/>
          <w:kern w:val="0"/>
          <w:sz w:val="32"/>
          <w:szCs w:val="32"/>
          <w:highlight w:val="none"/>
          <w:u w:val="none"/>
          <w:lang w:eastAsia="zh-CN"/>
        </w:rPr>
        <w:t>区</w:t>
      </w:r>
      <w:r>
        <w:rPr>
          <w:rFonts w:hint="eastAsia" w:ascii="仿宋_GB2312" w:eastAsia="仿宋_GB2312"/>
          <w:kern w:val="0"/>
          <w:sz w:val="32"/>
          <w:szCs w:val="32"/>
          <w:highlight w:val="none"/>
          <w:u w:val="none"/>
        </w:rPr>
        <w:t>国资委和企业原则上按照国有资本出资关系和干部管理权限，界定责任追究工作职责，分级组织开展责任追究工作，分别对企业不同层级经营管理有关人员进行追究处理，形成分级分层、有效衔接、上下贯通的责任追究工作体系。</w:t>
      </w:r>
    </w:p>
    <w:p>
      <w:pPr>
        <w:shd w:val="clear" w:color="auto" w:fill="FFFFFF"/>
        <w:spacing w:line="560" w:lineRule="exact"/>
        <w:ind w:firstLine="640"/>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四）坚持惩治教育和制度建设相结合。在对违规经营投资相关责任人严肃问责的同时，加大典型案例总结和通报力度，加强警示教育，发挥震慑作用，推动企业不断完善规章制度，堵塞经营管理漏洞，提高经营管理水平，实现国有资产保值增值。</w:t>
      </w:r>
    </w:p>
    <w:p>
      <w:pPr>
        <w:shd w:val="clear" w:color="auto" w:fill="FFFFFF"/>
        <w:spacing w:line="560" w:lineRule="exact"/>
        <w:ind w:firstLine="640"/>
        <w:rPr>
          <w:rFonts w:hint="eastAsia" w:ascii="仿宋_GB2312" w:eastAsia="仿宋_GB2312"/>
          <w:kern w:val="0"/>
          <w:sz w:val="32"/>
          <w:szCs w:val="32"/>
          <w:highlight w:val="none"/>
          <w:u w:val="none"/>
        </w:rPr>
      </w:pPr>
      <w:r>
        <w:rPr>
          <w:rFonts w:hint="eastAsia" w:ascii="黑体" w:hAnsi="黑体" w:eastAsia="黑体" w:cs="黑体"/>
          <w:kern w:val="0"/>
          <w:sz w:val="32"/>
          <w:szCs w:val="32"/>
          <w:highlight w:val="none"/>
          <w:u w:val="none"/>
        </w:rPr>
        <w:t>第五条</w:t>
      </w:r>
      <w:r>
        <w:rPr>
          <w:rFonts w:hint="eastAsia" w:ascii="仿宋_GB2312" w:eastAsia="仿宋_GB2312"/>
          <w:kern w:val="0"/>
          <w:sz w:val="32"/>
          <w:szCs w:val="32"/>
          <w:highlight w:val="none"/>
          <w:u w:val="none"/>
          <w:lang w:val="en-US" w:eastAsia="zh-CN"/>
        </w:rPr>
        <w:t xml:space="preserve">  </w:t>
      </w:r>
      <w:r>
        <w:rPr>
          <w:rFonts w:hint="eastAsia" w:ascii="仿宋_GB2312" w:eastAsia="仿宋_GB2312"/>
          <w:kern w:val="0"/>
          <w:sz w:val="32"/>
          <w:szCs w:val="32"/>
          <w:highlight w:val="none"/>
          <w:u w:val="none"/>
        </w:rPr>
        <w:t>在责任追究工作过程中，发现企业经营管理有关人员违纪或职务违法的问题和线索，应当移送相应的纪检监察机构查处；涉嫌犯罪的，应当移送监察机关或司法机关查处。</w:t>
      </w:r>
    </w:p>
    <w:p>
      <w:pPr>
        <w:shd w:val="clear" w:color="auto" w:fill="FFFFFF"/>
        <w:spacing w:line="560" w:lineRule="exact"/>
        <w:rPr>
          <w:kern w:val="0"/>
          <w:sz w:val="32"/>
          <w:szCs w:val="32"/>
          <w:highlight w:val="none"/>
          <w:u w:val="none"/>
        </w:rPr>
      </w:pPr>
      <w:r>
        <w:rPr>
          <w:kern w:val="0"/>
          <w:sz w:val="32"/>
          <w:szCs w:val="32"/>
          <w:highlight w:val="none"/>
          <w:u w:val="none"/>
        </w:rPr>
        <w:t> </w:t>
      </w:r>
    </w:p>
    <w:p>
      <w:pPr>
        <w:shd w:val="clear" w:color="auto" w:fill="FFFFFF"/>
        <w:spacing w:line="560" w:lineRule="exact"/>
        <w:jc w:val="center"/>
        <w:rPr>
          <w:kern w:val="0"/>
          <w:sz w:val="32"/>
          <w:szCs w:val="32"/>
          <w:highlight w:val="none"/>
          <w:u w:val="none"/>
        </w:rPr>
      </w:pPr>
      <w:r>
        <w:rPr>
          <w:rFonts w:hint="eastAsia" w:ascii="黑体" w:hAnsi="黑体" w:eastAsia="黑体"/>
          <w:kern w:val="0"/>
          <w:sz w:val="32"/>
          <w:szCs w:val="32"/>
          <w:highlight w:val="none"/>
          <w:u w:val="none"/>
        </w:rPr>
        <w:t>第二章</w:t>
      </w:r>
      <w:r>
        <w:rPr>
          <w:rFonts w:hint="eastAsia" w:ascii="宋体" w:hAnsi="宋体" w:cs="宋体"/>
          <w:kern w:val="0"/>
          <w:sz w:val="32"/>
          <w:szCs w:val="32"/>
          <w:highlight w:val="none"/>
          <w:u w:val="none"/>
        </w:rPr>
        <w:t> </w:t>
      </w:r>
      <w:r>
        <w:rPr>
          <w:rFonts w:hint="eastAsia" w:ascii="宋体" w:hAnsi="宋体" w:cs="宋体"/>
          <w:kern w:val="0"/>
          <w:sz w:val="32"/>
          <w:highlight w:val="none"/>
          <w:u w:val="none"/>
        </w:rPr>
        <w:t> </w:t>
      </w:r>
      <w:r>
        <w:rPr>
          <w:rFonts w:hint="eastAsia" w:ascii="黑体" w:hAnsi="黑体" w:eastAsia="黑体"/>
          <w:kern w:val="0"/>
          <w:sz w:val="32"/>
          <w:szCs w:val="32"/>
          <w:highlight w:val="none"/>
          <w:u w:val="none"/>
        </w:rPr>
        <w:t>责任追究范围</w:t>
      </w:r>
    </w:p>
    <w:p>
      <w:pPr>
        <w:shd w:val="clear" w:color="auto" w:fill="FFFFFF"/>
        <w:spacing w:line="560" w:lineRule="exact"/>
        <w:rPr>
          <w:kern w:val="0"/>
          <w:sz w:val="32"/>
          <w:szCs w:val="32"/>
          <w:highlight w:val="none"/>
          <w:u w:val="none"/>
        </w:rPr>
      </w:pPr>
      <w:r>
        <w:rPr>
          <w:kern w:val="0"/>
          <w:sz w:val="32"/>
          <w:szCs w:val="32"/>
          <w:highlight w:val="none"/>
          <w:u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u w:val="none"/>
          <w:lang w:eastAsia="zh-CN"/>
        </w:rPr>
      </w:pPr>
      <w:r>
        <w:rPr>
          <w:rFonts w:hint="eastAsia" w:ascii="黑体" w:hAnsi="黑体" w:eastAsia="黑体"/>
          <w:kern w:val="0"/>
          <w:sz w:val="32"/>
          <w:szCs w:val="32"/>
          <w:highlight w:val="none"/>
          <w:u w:val="none"/>
        </w:rPr>
        <w:t>第</w:t>
      </w:r>
      <w:r>
        <w:rPr>
          <w:rFonts w:hint="eastAsia" w:ascii="黑体" w:hAnsi="黑体" w:eastAsia="黑体"/>
          <w:kern w:val="0"/>
          <w:sz w:val="32"/>
          <w:szCs w:val="32"/>
          <w:highlight w:val="none"/>
          <w:u w:val="none"/>
          <w:lang w:eastAsia="zh-CN"/>
        </w:rPr>
        <w:t>六</w:t>
      </w:r>
      <w:r>
        <w:rPr>
          <w:rFonts w:hint="eastAsia" w:ascii="黑体" w:hAnsi="黑体" w:eastAsia="黑体"/>
          <w:kern w:val="0"/>
          <w:sz w:val="32"/>
          <w:szCs w:val="32"/>
          <w:highlight w:val="none"/>
          <w:u w:val="none"/>
        </w:rPr>
        <w:t>条</w:t>
      </w:r>
      <w:r>
        <w:rPr>
          <w:rFonts w:hint="eastAsia" w:eastAsia="黑体"/>
          <w:kern w:val="0"/>
          <w:sz w:val="32"/>
          <w:szCs w:val="32"/>
          <w:highlight w:val="none"/>
          <w:u w:val="none"/>
          <w:lang w:val="en-US" w:eastAsia="zh-CN"/>
        </w:rPr>
        <w:t xml:space="preserve">  </w:t>
      </w:r>
      <w:r>
        <w:rPr>
          <w:rFonts w:hint="eastAsia" w:ascii="仿宋_GB2312" w:hAnsi="仿宋_GB2312" w:eastAsia="仿宋_GB2312" w:cs="仿宋_GB2312"/>
          <w:kern w:val="0"/>
          <w:sz w:val="32"/>
          <w:szCs w:val="32"/>
          <w:highlight w:val="none"/>
          <w:u w:val="none"/>
          <w:lang w:eastAsia="zh-CN"/>
        </w:rPr>
        <w:t>企业经营管理有关人员违反规定，未履行或未正确履行职责致使发生本办法第七条至第十七条所列情形，造成国有资产损失或其他严重不良后果的，应当追究相应责任</w:t>
      </w:r>
      <w:r>
        <w:rPr>
          <w:rFonts w:hint="eastAsia" w:ascii="仿宋_GB2312" w:eastAsia="仿宋_GB2312"/>
          <w:kern w:val="0"/>
          <w:sz w:val="32"/>
          <w:szCs w:val="32"/>
          <w:highlight w:val="none"/>
          <w:u w:val="none"/>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highlight w:val="none"/>
          <w:u w:val="none"/>
          <w:lang w:eastAsia="zh-CN"/>
        </w:rPr>
      </w:pPr>
      <w:r>
        <w:rPr>
          <w:rFonts w:hint="eastAsia" w:ascii="黑体" w:hAnsi="黑体" w:eastAsia="黑体"/>
          <w:kern w:val="0"/>
          <w:sz w:val="32"/>
          <w:szCs w:val="32"/>
          <w:highlight w:val="none"/>
          <w:u w:val="none"/>
        </w:rPr>
        <w:t>第</w:t>
      </w:r>
      <w:r>
        <w:rPr>
          <w:rFonts w:hint="eastAsia" w:ascii="黑体" w:hAnsi="黑体" w:eastAsia="黑体"/>
          <w:kern w:val="0"/>
          <w:sz w:val="32"/>
          <w:szCs w:val="32"/>
          <w:highlight w:val="none"/>
          <w:u w:val="none"/>
          <w:lang w:eastAsia="zh-CN"/>
        </w:rPr>
        <w:t>七</w:t>
      </w:r>
      <w:r>
        <w:rPr>
          <w:rFonts w:hint="eastAsia" w:ascii="黑体" w:hAnsi="黑体" w:eastAsia="黑体"/>
          <w:kern w:val="0"/>
          <w:sz w:val="32"/>
          <w:szCs w:val="32"/>
          <w:highlight w:val="none"/>
          <w:u w:val="none"/>
        </w:rPr>
        <w:t>条</w:t>
      </w:r>
      <w:r>
        <w:rPr>
          <w:rFonts w:hint="eastAsia" w:eastAsia="黑体"/>
          <w:kern w:val="0"/>
          <w:sz w:val="32"/>
          <w:szCs w:val="32"/>
          <w:highlight w:val="none"/>
          <w:u w:val="none"/>
          <w:lang w:val="en-US" w:eastAsia="zh-CN"/>
        </w:rPr>
        <w:t xml:space="preserve">  </w:t>
      </w:r>
      <w:r>
        <w:rPr>
          <w:rFonts w:hint="eastAsia" w:ascii="仿宋_GB2312" w:eastAsia="仿宋_GB2312"/>
          <w:kern w:val="0"/>
          <w:sz w:val="32"/>
          <w:szCs w:val="32"/>
          <w:highlight w:val="none"/>
          <w:u w:val="none"/>
        </w:rPr>
        <w:t>集团管控方面的责任追究情形：</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（一）违反规定程序或超越权限决定、批准和组织实施重大经营投资事项，或决定、批准和组织实施的重大经营投资事项违反党和国家方针政策、决策部署以及国家和本市</w:t>
      </w:r>
      <w:r>
        <w:rPr>
          <w:rFonts w:hint="eastAsia" w:ascii="仿宋_GB2312" w:eastAsia="仿宋_GB2312"/>
          <w:kern w:val="0"/>
          <w:sz w:val="32"/>
          <w:szCs w:val="32"/>
          <w:highlight w:val="none"/>
          <w:u w:val="none"/>
          <w:lang w:eastAsia="zh-CN"/>
        </w:rPr>
        <w:t>、本区</w:t>
      </w:r>
      <w:r>
        <w:rPr>
          <w:rFonts w:hint="eastAsia" w:ascii="仿宋_GB2312" w:eastAsia="仿宋_GB2312"/>
          <w:kern w:val="0"/>
          <w:sz w:val="32"/>
          <w:szCs w:val="32"/>
          <w:highlight w:val="none"/>
          <w:u w:val="none"/>
        </w:rPr>
        <w:t>有关规定。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（二）对有关集团管控规定未执行或执行不力，致使发生重大资产损失且对生产经营、财务状况产生重大影响。</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（三）对集团重大风险隐患、内控缺陷等问题失察，或虽发现但没有及时报告、处理，造成重大资产损失或其他严重不良后果。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（四）所属企业发生重大违规违纪违法问题，造成重大资产损失且对集团生产经营、财务状况产生重大影响，或造成其他严重不良后果。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（五）对纪检监察、巡视巡察、审计等有关监管机构就经营投资有关重大问题提出的整改工作要求，拒绝整改、拖延整改等。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kern w:val="0"/>
          <w:sz w:val="32"/>
          <w:szCs w:val="32"/>
          <w:highlight w:val="none"/>
          <w:u w:val="none"/>
        </w:rPr>
      </w:pPr>
      <w:r>
        <w:rPr>
          <w:rFonts w:hint="eastAsia" w:ascii="黑体" w:hAnsi="黑体" w:eastAsia="黑体"/>
          <w:kern w:val="0"/>
          <w:sz w:val="32"/>
          <w:szCs w:val="32"/>
          <w:highlight w:val="none"/>
          <w:u w:val="none"/>
        </w:rPr>
        <w:t>第</w:t>
      </w:r>
      <w:r>
        <w:rPr>
          <w:rFonts w:hint="eastAsia" w:ascii="黑体" w:hAnsi="黑体" w:eastAsia="黑体"/>
          <w:kern w:val="0"/>
          <w:sz w:val="32"/>
          <w:szCs w:val="32"/>
          <w:highlight w:val="none"/>
          <w:u w:val="none"/>
          <w:lang w:eastAsia="zh-CN"/>
        </w:rPr>
        <w:t>八</w:t>
      </w:r>
      <w:r>
        <w:rPr>
          <w:rFonts w:hint="eastAsia" w:ascii="黑体" w:hAnsi="黑体" w:eastAsia="黑体"/>
          <w:kern w:val="0"/>
          <w:sz w:val="32"/>
          <w:szCs w:val="32"/>
          <w:highlight w:val="none"/>
          <w:u w:val="none"/>
        </w:rPr>
        <w:t>条</w:t>
      </w:r>
      <w:r>
        <w:rPr>
          <w:kern w:val="0"/>
          <w:sz w:val="32"/>
          <w:szCs w:val="32"/>
          <w:highlight w:val="none"/>
          <w:u w:val="none"/>
        </w:rPr>
        <w:t> </w:t>
      </w:r>
      <w:r>
        <w:rPr>
          <w:kern w:val="0"/>
          <w:sz w:val="32"/>
          <w:highlight w:val="none"/>
          <w:u w:val="none"/>
        </w:rPr>
        <w:t> </w:t>
      </w:r>
      <w:r>
        <w:rPr>
          <w:rFonts w:hint="eastAsia"/>
          <w:kern w:val="0"/>
          <w:sz w:val="32"/>
          <w:highlight w:val="none"/>
          <w:u w:val="none"/>
          <w:lang w:val="en-US" w:eastAsia="zh-CN"/>
        </w:rPr>
        <w:t xml:space="preserve"> </w:t>
      </w:r>
      <w:r>
        <w:rPr>
          <w:rFonts w:hint="eastAsia" w:ascii="仿宋_GB2312" w:eastAsia="仿宋_GB2312"/>
          <w:kern w:val="0"/>
          <w:sz w:val="32"/>
          <w:szCs w:val="32"/>
          <w:highlight w:val="none"/>
          <w:u w:val="none"/>
        </w:rPr>
        <w:t>风险管理方面的责任追究情形：</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（一）未按规定履行内控及风险管理制度建设职责，导致内控及风险管理制度缺失，内控流程存在重大缺陷。</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（二）内控及风险管理制度未执行或执行不力，对经营投资重大风险未能及时分析、识别、评估、预警、应对和报告。</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（三）未按规定对企业规章制度、经济合同和重要决策等进行法律审核。</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（四）未执行国有资产监管有关规定，过度负债导致债务危机，危及企业持续经营。</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（五）恶意逃废金融债务。</w:t>
      </w:r>
    </w:p>
    <w:p>
      <w:pPr>
        <w:shd w:val="clear" w:color="auto" w:fill="FFFFFF"/>
        <w:spacing w:line="560" w:lineRule="exact"/>
        <w:ind w:firstLine="645"/>
        <w:rPr>
          <w:rFonts w:ascii="仿宋_GB2312" w:eastAsia="仿宋_GB2312"/>
          <w:kern w:val="0"/>
          <w:sz w:val="32"/>
          <w:szCs w:val="32"/>
          <w:highlight w:val="none"/>
          <w:u w:val="none"/>
        </w:rPr>
      </w:pPr>
      <w:r>
        <w:rPr>
          <w:rFonts w:hint="eastAsia" w:ascii="仿宋_GB2312" w:eastAsia="仿宋_GB2312"/>
          <w:kern w:val="0"/>
          <w:sz w:val="32"/>
          <w:szCs w:val="32"/>
          <w:highlight w:val="none"/>
          <w:u w:val="none"/>
        </w:rPr>
        <w:t>（六）瞒报、漏报、谎报或迟报重大风险及风险损失事件，编制或指使编制虚假财务报告，企业账实严重不符。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kern w:val="0"/>
          <w:sz w:val="32"/>
          <w:szCs w:val="32"/>
          <w:highlight w:val="none"/>
          <w:u w:val="none"/>
        </w:rPr>
      </w:pPr>
      <w:r>
        <w:rPr>
          <w:rFonts w:hint="eastAsia" w:ascii="黑体" w:hAnsi="黑体" w:eastAsia="黑体"/>
          <w:kern w:val="0"/>
          <w:sz w:val="32"/>
          <w:szCs w:val="32"/>
          <w:highlight w:val="none"/>
          <w:u w:val="none"/>
        </w:rPr>
        <w:t>第</w:t>
      </w:r>
      <w:r>
        <w:rPr>
          <w:rFonts w:hint="eastAsia" w:ascii="黑体" w:hAnsi="黑体" w:eastAsia="黑体"/>
          <w:kern w:val="0"/>
          <w:sz w:val="32"/>
          <w:szCs w:val="32"/>
          <w:highlight w:val="none"/>
          <w:u w:val="none"/>
          <w:lang w:eastAsia="zh-CN"/>
        </w:rPr>
        <w:t>九</w:t>
      </w:r>
      <w:r>
        <w:rPr>
          <w:rFonts w:hint="eastAsia" w:ascii="黑体" w:hAnsi="黑体" w:eastAsia="黑体"/>
          <w:kern w:val="0"/>
          <w:sz w:val="32"/>
          <w:szCs w:val="32"/>
          <w:highlight w:val="none"/>
          <w:u w:val="none"/>
        </w:rPr>
        <w:t>条</w:t>
      </w:r>
      <w:r>
        <w:rPr>
          <w:rFonts w:hint="eastAsia" w:eastAsia="黑体"/>
          <w:kern w:val="0"/>
          <w:sz w:val="32"/>
          <w:szCs w:val="32"/>
          <w:highlight w:val="none"/>
          <w:u w:val="none"/>
          <w:lang w:val="en-US" w:eastAsia="zh-CN"/>
        </w:rPr>
        <w:t xml:space="preserve">  </w:t>
      </w:r>
      <w:r>
        <w:rPr>
          <w:rFonts w:hint="eastAsia" w:ascii="仿宋_GB2312" w:eastAsia="仿宋_GB2312"/>
          <w:kern w:val="0"/>
          <w:sz w:val="32"/>
          <w:szCs w:val="32"/>
          <w:highlight w:val="none"/>
          <w:u w:val="none"/>
        </w:rPr>
        <w:t>购销管理方面的责任追究情形：</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（一）未按规定订立、履行合同，未履行或未正确履行职责致使合同标的价格明显不公允、合同约定存在重大疏漏。</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（二）未正确履行合同，或无正当理由放弃应得合同权益。</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（三）违反规定开展融资性贸易业务或“空转”“走单”等虚假贸易业务。</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（四）违反规定利用关联交易输送利益。</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（五）未按规定进行招标或未执行招标结果。</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（六）违反规定提供赊销信用、资质、担保或预付款项，利用业务预付或物资交易等方式变相融资或投资。</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（七）违反规定开展商品期货、期权等衍生业务。</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（八）未按规定对应收款项及时追索或采取有效保全措施。　　</w:t>
      </w:r>
    </w:p>
    <w:p>
      <w:pPr>
        <w:shd w:val="clear" w:color="auto" w:fill="FFFFFF"/>
        <w:spacing w:line="560" w:lineRule="exact"/>
        <w:ind w:firstLine="645"/>
        <w:rPr>
          <w:rFonts w:hint="eastAsia" w:eastAsia="仿宋_GB2312"/>
          <w:kern w:val="0"/>
          <w:sz w:val="32"/>
          <w:szCs w:val="32"/>
          <w:highlight w:val="none"/>
          <w:u w:val="none"/>
          <w:lang w:eastAsia="zh-CN"/>
        </w:rPr>
      </w:pPr>
      <w:r>
        <w:rPr>
          <w:rFonts w:hint="eastAsia" w:ascii="黑体" w:hAnsi="黑体" w:eastAsia="黑体"/>
          <w:kern w:val="0"/>
          <w:sz w:val="32"/>
          <w:szCs w:val="32"/>
          <w:highlight w:val="none"/>
          <w:u w:val="none"/>
        </w:rPr>
        <w:t>第</w:t>
      </w:r>
      <w:r>
        <w:rPr>
          <w:rFonts w:hint="eastAsia" w:ascii="黑体" w:hAnsi="黑体" w:eastAsia="黑体"/>
          <w:kern w:val="0"/>
          <w:sz w:val="32"/>
          <w:szCs w:val="32"/>
          <w:highlight w:val="none"/>
          <w:u w:val="none"/>
          <w:lang w:eastAsia="zh-CN"/>
        </w:rPr>
        <w:t>十</w:t>
      </w:r>
      <w:r>
        <w:rPr>
          <w:rFonts w:hint="eastAsia" w:ascii="黑体" w:hAnsi="黑体" w:eastAsia="黑体"/>
          <w:kern w:val="0"/>
          <w:sz w:val="32"/>
          <w:szCs w:val="32"/>
          <w:highlight w:val="none"/>
          <w:u w:val="none"/>
        </w:rPr>
        <w:t>条</w:t>
      </w:r>
      <w:r>
        <w:rPr>
          <w:rFonts w:hint="eastAsia" w:eastAsia="黑体"/>
          <w:kern w:val="0"/>
          <w:sz w:val="32"/>
          <w:szCs w:val="32"/>
          <w:highlight w:val="none"/>
          <w:u w:val="none"/>
          <w:lang w:val="en-US" w:eastAsia="zh-CN"/>
        </w:rPr>
        <w:t xml:space="preserve">  </w:t>
      </w:r>
      <w:r>
        <w:rPr>
          <w:rFonts w:hint="eastAsia" w:ascii="仿宋_GB2312" w:eastAsia="仿宋_GB2312"/>
          <w:kern w:val="0"/>
          <w:sz w:val="32"/>
          <w:szCs w:val="32"/>
          <w:highlight w:val="none"/>
          <w:u w:val="none"/>
        </w:rPr>
        <w:t>工程承包建设方面的责任追究情形：</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（一）未按规定对合同标的进行调查论证或风险分析。</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（二）未按规定履行决策和审批程序，或未经授权和超越授权投标。</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（三）违反规定，无合理商业理由以低于成本的报价中标。</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（四）未按规定履行决策和审批程序，擅自签订或变更合同。</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（五）未按规定程序对合同约定进行严格审查，存在重大疏漏。</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（六）工程以及与工程建设有关的货物、服务未按规定招标或规避招标。</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（七）违反规定分包等。</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（八）违反合同约定超计价、超进度付款。</w:t>
      </w:r>
    </w:p>
    <w:p>
      <w:pPr>
        <w:shd w:val="clear" w:color="auto" w:fill="FFFFFF"/>
        <w:spacing w:line="560" w:lineRule="exact"/>
        <w:ind w:firstLine="645"/>
        <w:rPr>
          <w:kern w:val="0"/>
          <w:sz w:val="32"/>
          <w:szCs w:val="32"/>
          <w:highlight w:val="none"/>
          <w:u w:val="none"/>
        </w:rPr>
      </w:pPr>
      <w:r>
        <w:rPr>
          <w:rFonts w:hint="eastAsia" w:ascii="黑体" w:hAnsi="黑体" w:eastAsia="黑体"/>
          <w:kern w:val="0"/>
          <w:sz w:val="32"/>
          <w:szCs w:val="32"/>
          <w:highlight w:val="none"/>
          <w:u w:val="none"/>
        </w:rPr>
        <w:t>第</w:t>
      </w:r>
      <w:r>
        <w:rPr>
          <w:rFonts w:hint="eastAsia" w:ascii="黑体" w:hAnsi="黑体" w:eastAsia="黑体"/>
          <w:kern w:val="0"/>
          <w:sz w:val="32"/>
          <w:szCs w:val="32"/>
          <w:highlight w:val="none"/>
          <w:u w:val="none"/>
          <w:lang w:eastAsia="zh-CN"/>
        </w:rPr>
        <w:t>十一</w:t>
      </w:r>
      <w:r>
        <w:rPr>
          <w:rFonts w:hint="eastAsia" w:ascii="黑体" w:hAnsi="黑体" w:eastAsia="黑体"/>
          <w:kern w:val="0"/>
          <w:sz w:val="32"/>
          <w:szCs w:val="32"/>
          <w:highlight w:val="none"/>
          <w:u w:val="none"/>
        </w:rPr>
        <w:t>条</w:t>
      </w:r>
      <w:r>
        <w:rPr>
          <w:rFonts w:hint="eastAsia" w:eastAsia="黑体"/>
          <w:kern w:val="0"/>
          <w:sz w:val="32"/>
          <w:szCs w:val="32"/>
          <w:highlight w:val="none"/>
          <w:u w:val="none"/>
          <w:lang w:val="en-US" w:eastAsia="zh-CN"/>
        </w:rPr>
        <w:t xml:space="preserve">  </w:t>
      </w:r>
      <w:r>
        <w:rPr>
          <w:rFonts w:hint="eastAsia" w:ascii="仿宋_GB2312" w:eastAsia="仿宋_GB2312"/>
          <w:kern w:val="0"/>
          <w:sz w:val="32"/>
          <w:szCs w:val="32"/>
          <w:highlight w:val="none"/>
          <w:u w:val="none"/>
        </w:rPr>
        <w:t>资金管理方面的责任追究情形：</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（一）违反决策和审批程序或超越权限筹集和使用资金。</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（二）违反规定以个人名义留存资金、收支结算、开立银行账户等。</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（三）设立“小金库”。</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（四）违反规定集资、发行股票或债券、捐赠、担保、委托理财、拆借资金或开立信用证、办理银行票据、开展外汇或金融衍生品业务等。</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（五）虚列支出套取资金。</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（六）违反规定超发、滥发薪酬福利。</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（七）因财务内控缺失或未按照财务内控制度执行，发生资金挪用、侵占、盗取、欺诈等。</w:t>
      </w:r>
    </w:p>
    <w:p>
      <w:pPr>
        <w:shd w:val="clear" w:color="auto" w:fill="FFFFFF"/>
        <w:spacing w:line="560" w:lineRule="exact"/>
        <w:ind w:firstLine="645"/>
        <w:rPr>
          <w:kern w:val="0"/>
          <w:sz w:val="32"/>
          <w:szCs w:val="32"/>
          <w:highlight w:val="none"/>
          <w:u w:val="none"/>
        </w:rPr>
      </w:pPr>
      <w:r>
        <w:rPr>
          <w:rFonts w:hint="eastAsia" w:ascii="黑体" w:hAnsi="黑体" w:eastAsia="黑体"/>
          <w:kern w:val="0"/>
          <w:sz w:val="32"/>
          <w:szCs w:val="32"/>
          <w:highlight w:val="none"/>
          <w:u w:val="none"/>
        </w:rPr>
        <w:t>第十</w:t>
      </w:r>
      <w:r>
        <w:rPr>
          <w:rFonts w:hint="eastAsia" w:ascii="黑体" w:hAnsi="黑体" w:eastAsia="黑体"/>
          <w:kern w:val="0"/>
          <w:sz w:val="32"/>
          <w:szCs w:val="32"/>
          <w:highlight w:val="none"/>
          <w:u w:val="none"/>
          <w:lang w:eastAsia="zh-CN"/>
        </w:rPr>
        <w:t>二</w:t>
      </w:r>
      <w:r>
        <w:rPr>
          <w:rFonts w:hint="eastAsia" w:ascii="黑体" w:hAnsi="黑体" w:eastAsia="黑体"/>
          <w:kern w:val="0"/>
          <w:sz w:val="32"/>
          <w:szCs w:val="32"/>
          <w:highlight w:val="none"/>
          <w:u w:val="none"/>
        </w:rPr>
        <w:t>条</w:t>
      </w:r>
      <w:r>
        <w:rPr>
          <w:rFonts w:hint="eastAsia" w:eastAsia="黑体"/>
          <w:kern w:val="0"/>
          <w:sz w:val="32"/>
          <w:szCs w:val="32"/>
          <w:highlight w:val="none"/>
          <w:u w:val="none"/>
          <w:lang w:val="en-US" w:eastAsia="zh-CN"/>
        </w:rPr>
        <w:t xml:space="preserve">  </w:t>
      </w:r>
      <w:r>
        <w:rPr>
          <w:rFonts w:hint="eastAsia" w:ascii="仿宋_GB2312" w:eastAsia="仿宋_GB2312"/>
          <w:kern w:val="0"/>
          <w:sz w:val="32"/>
          <w:szCs w:val="32"/>
          <w:highlight w:val="none"/>
          <w:u w:val="none"/>
        </w:rPr>
        <w:t>转让产权、上市公司股权和资产方面的责任追究情形：</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（一）未按规定履行决策和审批程序或超越授权范围转让。</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（二）财务审计和资产评估违反相关规定。</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（三）隐匿应当纳入审计、评估范围的资产，组织提供和披露虚假信息，授意、指使中介机构出具虚假财务审计、资产评估鉴证结果及法律意见书等。</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（四）未按相关规定执行回避制度。</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（五）违反相关规定和公开公平交易原则，低价转让企业产权、上市公司股权和资产等。</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（六）未按规定进场交易。</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黑体" w:hAnsi="黑体" w:eastAsia="黑体"/>
          <w:kern w:val="0"/>
          <w:sz w:val="32"/>
          <w:szCs w:val="32"/>
          <w:highlight w:val="none"/>
          <w:u w:val="none"/>
        </w:rPr>
        <w:t>第十</w:t>
      </w:r>
      <w:r>
        <w:rPr>
          <w:rFonts w:hint="eastAsia" w:ascii="黑体" w:hAnsi="黑体" w:eastAsia="黑体"/>
          <w:kern w:val="0"/>
          <w:sz w:val="32"/>
          <w:szCs w:val="32"/>
          <w:highlight w:val="none"/>
          <w:u w:val="none"/>
          <w:lang w:eastAsia="zh-CN"/>
        </w:rPr>
        <w:t>三</w:t>
      </w:r>
      <w:r>
        <w:rPr>
          <w:rFonts w:hint="eastAsia" w:ascii="黑体" w:hAnsi="黑体" w:eastAsia="黑体"/>
          <w:kern w:val="0"/>
          <w:sz w:val="32"/>
          <w:szCs w:val="32"/>
          <w:highlight w:val="none"/>
          <w:u w:val="none"/>
        </w:rPr>
        <w:t>条</w:t>
      </w:r>
      <w:r>
        <w:rPr>
          <w:rFonts w:hint="eastAsia" w:eastAsia="黑体"/>
          <w:kern w:val="0"/>
          <w:sz w:val="32"/>
          <w:szCs w:val="32"/>
          <w:highlight w:val="none"/>
          <w:u w:val="none"/>
          <w:lang w:val="en-US" w:eastAsia="zh-CN"/>
        </w:rPr>
        <w:t xml:space="preserve">  </w:t>
      </w:r>
      <w:r>
        <w:rPr>
          <w:rFonts w:hint="eastAsia" w:ascii="仿宋_GB2312" w:eastAsia="仿宋_GB2312"/>
          <w:kern w:val="0"/>
          <w:sz w:val="32"/>
          <w:szCs w:val="32"/>
          <w:highlight w:val="none"/>
          <w:u w:val="none"/>
        </w:rPr>
        <w:t>固定资产投资方面的责任追究情形：</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（一）未按规定进行可行性研究或风险分析。</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（二）项目概算未按规定进行审查，严重偏离实际。</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（三）未按规定履行决策和审批程序擅自投资。</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（四）购建项目未按规定招标，干预、规避或操纵招标。</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（五）外部环境和项目本身情况发生重大变化，未按规定及时调整投资方案并采取止损措施。</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（六）擅自变更工程设计、建设内容和追加投资等。</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（七）项目管理混乱，致使建设严重拖期、成本明显高于同类项目。</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（八）违反规定开展列入负面清单的投资项目。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kern w:val="0"/>
          <w:sz w:val="32"/>
          <w:szCs w:val="32"/>
          <w:highlight w:val="none"/>
          <w:u w:val="none"/>
        </w:rPr>
      </w:pPr>
      <w:r>
        <w:rPr>
          <w:rFonts w:hint="eastAsia" w:ascii="黑体" w:hAnsi="黑体" w:eastAsia="黑体"/>
          <w:kern w:val="0"/>
          <w:sz w:val="32"/>
          <w:szCs w:val="32"/>
          <w:highlight w:val="none"/>
          <w:u w:val="none"/>
        </w:rPr>
        <w:t>第十</w:t>
      </w:r>
      <w:r>
        <w:rPr>
          <w:rFonts w:hint="eastAsia" w:ascii="黑体" w:hAnsi="黑体" w:eastAsia="黑体"/>
          <w:kern w:val="0"/>
          <w:sz w:val="32"/>
          <w:szCs w:val="32"/>
          <w:highlight w:val="none"/>
          <w:u w:val="none"/>
          <w:lang w:eastAsia="zh-CN"/>
        </w:rPr>
        <w:t>四</w:t>
      </w:r>
      <w:r>
        <w:rPr>
          <w:rFonts w:hint="eastAsia" w:ascii="黑体" w:hAnsi="黑体" w:eastAsia="黑体"/>
          <w:kern w:val="0"/>
          <w:sz w:val="32"/>
          <w:szCs w:val="32"/>
          <w:highlight w:val="none"/>
          <w:u w:val="none"/>
        </w:rPr>
        <w:t>条</w:t>
      </w:r>
      <w:r>
        <w:rPr>
          <w:rFonts w:hint="eastAsia" w:eastAsia="黑体"/>
          <w:kern w:val="0"/>
          <w:sz w:val="32"/>
          <w:szCs w:val="32"/>
          <w:highlight w:val="none"/>
          <w:u w:val="none"/>
          <w:lang w:val="en-US" w:eastAsia="zh-CN"/>
        </w:rPr>
        <w:t xml:space="preserve">  </w:t>
      </w:r>
      <w:r>
        <w:rPr>
          <w:rFonts w:hint="eastAsia" w:ascii="仿宋_GB2312" w:eastAsia="仿宋_GB2312"/>
          <w:kern w:val="0"/>
          <w:sz w:val="32"/>
          <w:szCs w:val="32"/>
          <w:highlight w:val="none"/>
          <w:u w:val="none"/>
        </w:rPr>
        <w:t>投资并购方面的责任追究情形：</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（一）未按规定开展尽职调查、可行性研究分析，或尽职调查、可行性研究分析未进行风险分析等，存在重大疏漏。</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（二）财务审计、资产评估或估值违反相关规定，或者投资并购过程中授意、指使中介机构或有关单位出具虚假报告。</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（三）未按规定履行决策和审批程序，决策未充分考虑重大风险因素，未制定风险防范预案。</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（四）违反规定以各种形式为其他合资合作方提供垫资，或通过高溢价并购等手段向关联方输送利益。</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（五）投资合同、协议及标的企业公司章程等法律文件存在有损国有权益的条款，致使对标的企业管理失控。</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（六）违反合同约定提前支付并购价款。</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（七）投资并购后未按有关工作方案开展整合，致使对标的企业管理失控。</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（八）投资参股后未行使相应股东权利，发生重大变化未及时采取止损措施。</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（九）违反规定开展列入负面清单的投资项目。</w:t>
      </w:r>
    </w:p>
    <w:p>
      <w:pPr>
        <w:shd w:val="clear" w:color="auto" w:fill="FFFFFF"/>
        <w:spacing w:line="560" w:lineRule="exact"/>
        <w:rPr>
          <w:kern w:val="0"/>
          <w:sz w:val="32"/>
          <w:szCs w:val="32"/>
          <w:highlight w:val="none"/>
          <w:u w:val="none"/>
        </w:rPr>
      </w:pPr>
      <w:r>
        <w:rPr>
          <w:rFonts w:hint="eastAsia" w:ascii="仿宋_GB2312" w:eastAsia="仿宋_GB2312"/>
          <w:kern w:val="0"/>
          <w:sz w:val="32"/>
          <w:szCs w:val="32"/>
          <w:highlight w:val="none"/>
        </w:rPr>
        <w:t>　　</w:t>
      </w:r>
      <w:r>
        <w:rPr>
          <w:rFonts w:hint="eastAsia" w:ascii="黑体" w:hAnsi="黑体" w:eastAsia="黑体"/>
          <w:kern w:val="0"/>
          <w:sz w:val="32"/>
          <w:szCs w:val="32"/>
          <w:highlight w:val="none"/>
        </w:rPr>
        <w:t>第十</w:t>
      </w:r>
      <w:r>
        <w:rPr>
          <w:rFonts w:hint="eastAsia" w:ascii="黑体" w:hAnsi="黑体" w:eastAsia="黑体"/>
          <w:kern w:val="0"/>
          <w:sz w:val="32"/>
          <w:szCs w:val="32"/>
          <w:highlight w:val="none"/>
          <w:lang w:eastAsia="zh-CN"/>
        </w:rPr>
        <w:t>五</w:t>
      </w:r>
      <w:r>
        <w:rPr>
          <w:rFonts w:hint="eastAsia" w:ascii="黑体" w:hAnsi="黑体" w:eastAsia="黑体"/>
          <w:kern w:val="0"/>
          <w:sz w:val="32"/>
          <w:szCs w:val="32"/>
          <w:highlight w:val="none"/>
        </w:rPr>
        <w:t>条</w:t>
      </w:r>
      <w:r>
        <w:rPr>
          <w:rFonts w:hint="eastAsia" w:eastAsia="黑体"/>
          <w:kern w:val="0"/>
          <w:sz w:val="32"/>
          <w:szCs w:val="32"/>
          <w:highlight w:val="none"/>
          <w:u w:val="none"/>
          <w:lang w:val="en-US" w:eastAsia="zh-CN"/>
        </w:rPr>
        <w:t xml:space="preserve">  </w:t>
      </w:r>
      <w:r>
        <w:rPr>
          <w:rFonts w:hint="eastAsia" w:ascii="仿宋_GB2312" w:eastAsia="仿宋_GB2312"/>
          <w:kern w:val="0"/>
          <w:sz w:val="32"/>
          <w:szCs w:val="32"/>
          <w:highlight w:val="none"/>
          <w:u w:val="none"/>
        </w:rPr>
        <w:t>改组改制方面的责任追究情形：</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（一）未按规定履行决策和审批程序。</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（二）未按规定组织开展清产核资、财务审计和资产评估。</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（三）故意转移、隐匿国有资产或向中介机构提供虚假信息，授意、指使中介机构出具虚假清产核资、财务审计与资产评估等鉴证结果。</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（四）将国有资产以明显不公允低价折股、出售或无偿分给其他单位或个人。</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（五）在发展混合所有制经济、实施员工持股计划、破产重整或清算等改组改制过程中，违反规定，导致发生变相套取、私分国有资产。</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（六）未按规定收取国有资产转让价款。</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（七）改制后的公司章程等法律文件中存在有损国有权益的条款或国有权益保护条款缺失的。</w:t>
      </w:r>
    </w:p>
    <w:p>
      <w:pPr>
        <w:shd w:val="clear" w:color="auto" w:fill="FFFFFF"/>
        <w:spacing w:line="560" w:lineRule="exact"/>
        <w:ind w:firstLine="645"/>
        <w:rPr>
          <w:rFonts w:hint="eastAsia" w:ascii="仿宋_GB2312" w:eastAsia="仿宋_GB2312"/>
          <w:kern w:val="0"/>
          <w:sz w:val="32"/>
          <w:szCs w:val="32"/>
          <w:highlight w:val="none"/>
        </w:rPr>
      </w:pPr>
      <w:r>
        <w:rPr>
          <w:rFonts w:hint="eastAsia" w:ascii="黑体" w:hAnsi="黑体" w:eastAsia="黑体"/>
          <w:kern w:val="0"/>
          <w:sz w:val="32"/>
          <w:szCs w:val="32"/>
          <w:highlight w:val="none"/>
        </w:rPr>
        <w:t>第十</w:t>
      </w:r>
      <w:r>
        <w:rPr>
          <w:rFonts w:hint="eastAsia" w:ascii="黑体" w:hAnsi="黑体" w:eastAsia="黑体"/>
          <w:kern w:val="0"/>
          <w:sz w:val="32"/>
          <w:szCs w:val="32"/>
          <w:highlight w:val="none"/>
          <w:lang w:eastAsia="zh-CN"/>
        </w:rPr>
        <w:t>六</w:t>
      </w:r>
      <w:r>
        <w:rPr>
          <w:rFonts w:hint="eastAsia" w:ascii="黑体" w:hAnsi="黑体" w:eastAsia="黑体"/>
          <w:kern w:val="0"/>
          <w:sz w:val="32"/>
          <w:szCs w:val="32"/>
          <w:highlight w:val="none"/>
        </w:rPr>
        <w:t>条</w:t>
      </w:r>
      <w:r>
        <w:rPr>
          <w:rFonts w:hint="eastAsia"/>
          <w:kern w:val="0"/>
          <w:sz w:val="32"/>
          <w:highlight w:val="none"/>
          <w:lang w:val="en-US" w:eastAsia="zh-CN"/>
        </w:rPr>
        <w:t xml:space="preserve">  </w:t>
      </w:r>
      <w:r>
        <w:rPr>
          <w:rFonts w:hint="eastAsia" w:ascii="仿宋_GB2312" w:eastAsia="仿宋_GB2312"/>
          <w:kern w:val="0"/>
          <w:sz w:val="32"/>
          <w:szCs w:val="32"/>
          <w:highlight w:val="none"/>
          <w:u w:val="none"/>
        </w:rPr>
        <w:t>境外经营投资方面的责任追究情形</w:t>
      </w:r>
      <w:r>
        <w:rPr>
          <w:rFonts w:hint="eastAsia" w:ascii="仿宋_GB2312" w:eastAsia="仿宋_GB2312"/>
          <w:kern w:val="0"/>
          <w:sz w:val="32"/>
          <w:szCs w:val="32"/>
          <w:highlight w:val="none"/>
        </w:rPr>
        <w:t>。</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（一）未按规定建立企业境外投资管理相关制度，导致境外投资管控缺失。</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（二）开展列入负面清单禁止类的境外投资项目。</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（三）违反规定从事非主业投资或开展列入负面清单特别监管类的境外投资项目。</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（四）未按规定进行风险评估并采取有效风险防控措施对外投资或承揽境外项目。</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（五）违反规定采取不当经营行为，以及不顾成本和代价进行恶性竞争。</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仿宋_GB2312" w:eastAsia="仿宋_GB2312"/>
          <w:kern w:val="0"/>
          <w:sz w:val="32"/>
          <w:szCs w:val="32"/>
          <w:highlight w:val="none"/>
          <w:u w:val="none"/>
        </w:rPr>
        <w:t>（六）违反本章其他有关规定或存在明令禁止的其他境外经营投资行为的。</w:t>
      </w:r>
    </w:p>
    <w:p>
      <w:pPr>
        <w:shd w:val="clear" w:color="auto" w:fill="FFFFFF"/>
        <w:spacing w:line="560" w:lineRule="exact"/>
        <w:ind w:firstLine="645"/>
        <w:rPr>
          <w:rFonts w:hint="eastAsia" w:ascii="仿宋_GB2312" w:eastAsia="仿宋_GB2312"/>
          <w:kern w:val="0"/>
          <w:sz w:val="32"/>
          <w:szCs w:val="32"/>
          <w:highlight w:val="none"/>
          <w:u w:val="none"/>
        </w:rPr>
      </w:pPr>
      <w:r>
        <w:rPr>
          <w:rFonts w:hint="eastAsia" w:ascii="黑体" w:hAnsi="黑体" w:eastAsia="黑体" w:cs="黑体"/>
          <w:kern w:val="0"/>
          <w:sz w:val="32"/>
          <w:szCs w:val="32"/>
          <w:highlight w:val="none"/>
          <w:u w:val="none"/>
        </w:rPr>
        <w:t>第十七条</w:t>
      </w:r>
      <w:r>
        <w:rPr>
          <w:rFonts w:hint="eastAsia" w:ascii="仿宋_GB2312" w:eastAsia="仿宋_GB2312"/>
          <w:kern w:val="0"/>
          <w:sz w:val="32"/>
          <w:szCs w:val="32"/>
          <w:highlight w:val="none"/>
          <w:u w:val="none"/>
        </w:rPr>
        <w:t xml:space="preserve">  其他违反规定，未履行或未正确履行职责造成国有资产损失或其他严重不良后果的责任追究情形。</w:t>
      </w:r>
    </w:p>
    <w:p>
      <w:pPr>
        <w:shd w:val="clear" w:color="auto" w:fill="FFFFFF"/>
        <w:spacing w:line="560" w:lineRule="exact"/>
        <w:ind w:firstLine="645"/>
        <w:rPr>
          <w:kern w:val="0"/>
          <w:sz w:val="32"/>
          <w:szCs w:val="32"/>
          <w:highlight w:val="none"/>
        </w:rPr>
      </w:pPr>
      <w:r>
        <w:rPr>
          <w:kern w:val="0"/>
          <w:sz w:val="32"/>
          <w:szCs w:val="32"/>
          <w:highlight w:val="none"/>
        </w:rPr>
        <w:t> </w:t>
      </w:r>
    </w:p>
    <w:p>
      <w:pPr>
        <w:shd w:val="clear" w:color="auto" w:fill="FFFFFF"/>
        <w:spacing w:line="560" w:lineRule="exact"/>
        <w:jc w:val="center"/>
        <w:rPr>
          <w:kern w:val="0"/>
          <w:sz w:val="32"/>
          <w:szCs w:val="32"/>
          <w:highlight w:val="none"/>
        </w:rPr>
      </w:pPr>
      <w:r>
        <w:rPr>
          <w:rFonts w:hint="eastAsia" w:ascii="黑体" w:hAnsi="黑体" w:eastAsia="黑体"/>
          <w:kern w:val="0"/>
          <w:sz w:val="32"/>
          <w:szCs w:val="32"/>
          <w:highlight w:val="none"/>
        </w:rPr>
        <w:t>第三章</w:t>
      </w:r>
      <w:r>
        <w:rPr>
          <w:rFonts w:hint="eastAsia" w:ascii="宋体" w:hAnsi="宋体" w:cs="宋体"/>
          <w:kern w:val="0"/>
          <w:sz w:val="32"/>
          <w:szCs w:val="32"/>
          <w:highlight w:val="none"/>
        </w:rPr>
        <w:t> </w:t>
      </w:r>
      <w:r>
        <w:rPr>
          <w:rFonts w:hint="eastAsia" w:ascii="宋体" w:hAnsi="宋体" w:cs="宋体"/>
          <w:kern w:val="0"/>
          <w:sz w:val="32"/>
          <w:highlight w:val="none"/>
        </w:rPr>
        <w:t> </w:t>
      </w:r>
      <w:r>
        <w:rPr>
          <w:rFonts w:hint="eastAsia" w:ascii="黑体" w:hAnsi="黑体" w:eastAsia="黑体"/>
          <w:kern w:val="0"/>
          <w:sz w:val="32"/>
          <w:szCs w:val="32"/>
          <w:highlight w:val="none"/>
        </w:rPr>
        <w:t>资产损失认定</w:t>
      </w:r>
    </w:p>
    <w:p>
      <w:pPr>
        <w:shd w:val="clear" w:color="auto" w:fill="FFFFFF"/>
        <w:spacing w:line="560" w:lineRule="exact"/>
        <w:rPr>
          <w:kern w:val="0"/>
          <w:sz w:val="32"/>
          <w:szCs w:val="32"/>
          <w:highlight w:val="none"/>
        </w:rPr>
      </w:pPr>
      <w:r>
        <w:rPr>
          <w:kern w:val="0"/>
          <w:sz w:val="32"/>
          <w:szCs w:val="32"/>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kern w:val="0"/>
          <w:sz w:val="32"/>
          <w:szCs w:val="32"/>
          <w:highlight w:val="none"/>
        </w:rPr>
      </w:pPr>
      <w:r>
        <w:rPr>
          <w:rFonts w:hint="eastAsia" w:ascii="黑体" w:hAnsi="黑体" w:eastAsia="黑体"/>
          <w:kern w:val="0"/>
          <w:sz w:val="32"/>
          <w:szCs w:val="32"/>
          <w:highlight w:val="none"/>
        </w:rPr>
        <w:t>第十</w:t>
      </w:r>
      <w:r>
        <w:rPr>
          <w:rFonts w:hint="eastAsia" w:ascii="黑体" w:hAnsi="黑体" w:eastAsia="黑体"/>
          <w:kern w:val="0"/>
          <w:sz w:val="32"/>
          <w:szCs w:val="32"/>
          <w:highlight w:val="none"/>
          <w:lang w:eastAsia="zh-CN"/>
        </w:rPr>
        <w:t>八</w:t>
      </w:r>
      <w:r>
        <w:rPr>
          <w:rFonts w:hint="eastAsia" w:ascii="黑体" w:hAnsi="黑体" w:eastAsia="黑体"/>
          <w:kern w:val="0"/>
          <w:sz w:val="32"/>
          <w:szCs w:val="32"/>
          <w:highlight w:val="none"/>
        </w:rPr>
        <w:t>条</w:t>
      </w:r>
      <w:r>
        <w:rPr>
          <w:rFonts w:hint="eastAsia" w:eastAsia="黑体"/>
          <w:kern w:val="0"/>
          <w:sz w:val="32"/>
          <w:szCs w:val="32"/>
          <w:highlight w:val="none"/>
          <w:lang w:val="en-US" w:eastAsia="zh-CN"/>
        </w:rPr>
        <w:t xml:space="preserve">  </w:t>
      </w:r>
      <w:r>
        <w:rPr>
          <w:rFonts w:hint="eastAsia" w:ascii="仿宋_GB2312" w:eastAsia="仿宋_GB2312"/>
          <w:kern w:val="0"/>
          <w:sz w:val="32"/>
          <w:szCs w:val="32"/>
          <w:highlight w:val="none"/>
        </w:rPr>
        <w:t>对企业违规经营投资造成的资产损失，在调查核实的基础上，依据有关规定认定资产损失金额，以及对企业、国家和社会等造成的影响。</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kern w:val="0"/>
          <w:sz w:val="32"/>
          <w:szCs w:val="32"/>
          <w:highlight w:val="none"/>
        </w:rPr>
      </w:pPr>
      <w:r>
        <w:rPr>
          <w:rFonts w:hint="eastAsia" w:ascii="黑体" w:hAnsi="黑体" w:eastAsia="黑体"/>
          <w:kern w:val="0"/>
          <w:sz w:val="32"/>
          <w:szCs w:val="32"/>
          <w:highlight w:val="none"/>
        </w:rPr>
        <w:t>第十</w:t>
      </w:r>
      <w:r>
        <w:rPr>
          <w:rFonts w:hint="eastAsia" w:ascii="黑体" w:hAnsi="黑体" w:eastAsia="黑体"/>
          <w:kern w:val="0"/>
          <w:sz w:val="32"/>
          <w:szCs w:val="32"/>
          <w:highlight w:val="none"/>
          <w:lang w:eastAsia="zh-CN"/>
        </w:rPr>
        <w:t>九</w:t>
      </w:r>
      <w:r>
        <w:rPr>
          <w:rFonts w:hint="eastAsia" w:ascii="黑体" w:hAnsi="黑体" w:eastAsia="黑体"/>
          <w:kern w:val="0"/>
          <w:sz w:val="32"/>
          <w:szCs w:val="32"/>
          <w:highlight w:val="none"/>
        </w:rPr>
        <w:t>条</w:t>
      </w:r>
      <w:r>
        <w:rPr>
          <w:rFonts w:hint="eastAsia" w:ascii="仿宋_GB2312" w:eastAsia="仿宋_GB2312"/>
          <w:kern w:val="0"/>
          <w:sz w:val="32"/>
          <w:szCs w:val="32"/>
          <w:highlight w:val="none"/>
          <w:lang w:val="en-US" w:eastAsia="zh-CN"/>
        </w:rPr>
        <w:t xml:space="preserve">  </w:t>
      </w:r>
      <w:r>
        <w:rPr>
          <w:rFonts w:hint="eastAsia" w:ascii="仿宋_GB2312" w:eastAsia="仿宋_GB2312"/>
          <w:kern w:val="0"/>
          <w:sz w:val="32"/>
          <w:szCs w:val="32"/>
          <w:highlight w:val="none"/>
        </w:rPr>
        <w:t>违规经营投资责任追究中能够证明资产损失真实情况的各种事实，均可作为损失认定证据。主要包括：</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（一）司法机关、行政机关等依法出具的与本企业资产损失相关的书面文件；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（二）会计师事务所、资产评估机构、律师事务所、税务师事务所、专业技术鉴定机构等专业机构出具的专项审计、评估或鉴证报告；</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（三）企业内部涉及特定事项的资产损失的会计记录、内部证明材料或者内部鉴定意见书等；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lang w:eastAsia="zh-CN"/>
        </w:rPr>
        <w:t>（四）</w:t>
      </w:r>
      <w:r>
        <w:rPr>
          <w:rFonts w:hint="eastAsia" w:ascii="仿宋_GB2312" w:eastAsia="仿宋_GB2312"/>
          <w:kern w:val="0"/>
          <w:sz w:val="32"/>
          <w:szCs w:val="32"/>
          <w:highlight w:val="none"/>
        </w:rPr>
        <w:t>可以认定资产损失的其他证明材料。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kern w:val="0"/>
          <w:sz w:val="32"/>
          <w:szCs w:val="32"/>
          <w:highlight w:val="none"/>
        </w:rPr>
      </w:pPr>
      <w:r>
        <w:rPr>
          <w:rFonts w:hint="eastAsia" w:ascii="黑体" w:hAnsi="黑体" w:eastAsia="黑体"/>
          <w:kern w:val="0"/>
          <w:sz w:val="32"/>
          <w:szCs w:val="32"/>
          <w:highlight w:val="none"/>
        </w:rPr>
        <w:t>第</w:t>
      </w:r>
      <w:r>
        <w:rPr>
          <w:rFonts w:hint="eastAsia" w:ascii="黑体" w:hAnsi="黑体" w:eastAsia="黑体"/>
          <w:kern w:val="0"/>
          <w:sz w:val="32"/>
          <w:szCs w:val="32"/>
          <w:highlight w:val="none"/>
          <w:lang w:eastAsia="zh-CN"/>
        </w:rPr>
        <w:t>二十</w:t>
      </w:r>
      <w:r>
        <w:rPr>
          <w:rFonts w:hint="eastAsia" w:ascii="黑体" w:hAnsi="黑体" w:eastAsia="黑体"/>
          <w:kern w:val="0"/>
          <w:sz w:val="32"/>
          <w:szCs w:val="32"/>
          <w:highlight w:val="none"/>
        </w:rPr>
        <w:t>条</w:t>
      </w:r>
      <w:r>
        <w:rPr>
          <w:rFonts w:hint="eastAsia" w:ascii="仿宋_GB2312" w:eastAsia="仿宋_GB2312"/>
          <w:kern w:val="0"/>
          <w:sz w:val="32"/>
          <w:szCs w:val="32"/>
          <w:highlight w:val="none"/>
        </w:rPr>
        <w:t>　资产损失包括直接损失和间接损失。直接损失是与相关人员行为有直接因果关系的损失金额及影响；间接损失是由相关人员行为引发或导致的，除直接损失外、能够确认计量的其他损失金额及影响。</w:t>
      </w:r>
    </w:p>
    <w:p>
      <w:pPr>
        <w:shd w:val="clear" w:color="auto" w:fill="FFFFFF"/>
        <w:spacing w:line="560" w:lineRule="exact"/>
        <w:rPr>
          <w:kern w:val="0"/>
          <w:sz w:val="32"/>
          <w:szCs w:val="32"/>
          <w:highlight w:val="none"/>
        </w:rPr>
      </w:pPr>
      <w:r>
        <w:rPr>
          <w:rFonts w:hint="eastAsia" w:ascii="仿宋_GB2312" w:eastAsia="仿宋_GB2312"/>
          <w:kern w:val="0"/>
          <w:sz w:val="32"/>
          <w:szCs w:val="32"/>
          <w:highlight w:val="none"/>
        </w:rPr>
        <w:t>　　</w:t>
      </w:r>
      <w:r>
        <w:rPr>
          <w:rFonts w:hint="eastAsia" w:ascii="黑体" w:hAnsi="黑体" w:eastAsia="黑体"/>
          <w:kern w:val="0"/>
          <w:sz w:val="32"/>
          <w:szCs w:val="32"/>
          <w:highlight w:val="none"/>
        </w:rPr>
        <w:t>第</w:t>
      </w:r>
      <w:r>
        <w:rPr>
          <w:rFonts w:hint="eastAsia" w:ascii="黑体" w:hAnsi="黑体" w:eastAsia="黑体"/>
          <w:kern w:val="0"/>
          <w:sz w:val="32"/>
          <w:szCs w:val="32"/>
          <w:highlight w:val="none"/>
          <w:lang w:eastAsia="zh-CN"/>
        </w:rPr>
        <w:t>二十一</w:t>
      </w:r>
      <w:r>
        <w:rPr>
          <w:rFonts w:hint="eastAsia" w:ascii="黑体" w:hAnsi="黑体" w:eastAsia="黑体"/>
          <w:kern w:val="0"/>
          <w:sz w:val="32"/>
          <w:szCs w:val="32"/>
          <w:highlight w:val="none"/>
        </w:rPr>
        <w:t>条</w:t>
      </w:r>
      <w:r>
        <w:rPr>
          <w:rFonts w:hint="eastAsia" w:ascii="仿宋_GB2312" w:eastAsia="仿宋_GB2312"/>
          <w:kern w:val="0"/>
          <w:sz w:val="32"/>
          <w:szCs w:val="32"/>
          <w:highlight w:val="none"/>
        </w:rPr>
        <w:t>　相关违规经营投资虽尚未形成事实资产损失，但确有证据证明资产损失在可预见未来将发生，且能可靠计量资产损失金额的，经中介机构评估可以认定为或有损失，计入资产损失。</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kern w:val="0"/>
          <w:sz w:val="32"/>
          <w:szCs w:val="32"/>
          <w:highlight w:val="none"/>
        </w:rPr>
      </w:pPr>
      <w:r>
        <w:rPr>
          <w:rFonts w:hint="eastAsia" w:ascii="黑体" w:hAnsi="黑体" w:eastAsia="黑体"/>
          <w:kern w:val="0"/>
          <w:sz w:val="32"/>
          <w:szCs w:val="32"/>
          <w:highlight w:val="none"/>
        </w:rPr>
        <w:t>第二十</w:t>
      </w:r>
      <w:r>
        <w:rPr>
          <w:rFonts w:hint="eastAsia" w:ascii="黑体" w:hAnsi="黑体" w:eastAsia="黑体"/>
          <w:kern w:val="0"/>
          <w:sz w:val="32"/>
          <w:szCs w:val="32"/>
          <w:highlight w:val="none"/>
          <w:lang w:eastAsia="zh-CN"/>
        </w:rPr>
        <w:t>二</w:t>
      </w:r>
      <w:r>
        <w:rPr>
          <w:rFonts w:hint="eastAsia" w:ascii="黑体" w:hAnsi="黑体" w:eastAsia="黑体"/>
          <w:kern w:val="0"/>
          <w:sz w:val="32"/>
          <w:szCs w:val="32"/>
          <w:highlight w:val="none"/>
        </w:rPr>
        <w:t>条</w:t>
      </w:r>
      <w:r>
        <w:rPr>
          <w:rFonts w:hint="eastAsia" w:ascii="仿宋_GB2312" w:eastAsia="仿宋_GB2312"/>
          <w:kern w:val="0"/>
          <w:sz w:val="32"/>
          <w:szCs w:val="32"/>
          <w:highlight w:val="none"/>
        </w:rPr>
        <w:t>　资产损失分为一般资产损失、较大资产损失、重大资产损失，按以下金额标准确定：</w:t>
      </w:r>
    </w:p>
    <w:p>
      <w:pPr>
        <w:shd w:val="clear" w:color="auto" w:fill="FFFFFF"/>
        <w:spacing w:line="560" w:lineRule="exact"/>
        <w:rPr>
          <w:kern w:val="0"/>
          <w:sz w:val="32"/>
          <w:szCs w:val="32"/>
          <w:highlight w:val="none"/>
        </w:rPr>
      </w:pPr>
      <w:r>
        <w:rPr>
          <w:rFonts w:hint="eastAsia" w:ascii="仿宋_GB2312" w:eastAsia="仿宋_GB2312"/>
          <w:kern w:val="0"/>
          <w:sz w:val="32"/>
          <w:szCs w:val="32"/>
          <w:highlight w:val="none"/>
        </w:rPr>
        <w:t>　　（一）一般资产损失，是指单笔资产损失价值在</w:t>
      </w:r>
      <w:r>
        <w:rPr>
          <w:rFonts w:hint="eastAsia" w:ascii="仿宋_GB2312" w:eastAsia="仿宋_GB2312"/>
          <w:kern w:val="0"/>
          <w:sz w:val="32"/>
          <w:szCs w:val="32"/>
          <w:highlight w:val="none"/>
          <w:u w:val="none"/>
          <w:lang w:val="en-US" w:eastAsia="zh-CN"/>
        </w:rPr>
        <w:t>3</w:t>
      </w:r>
      <w:r>
        <w:rPr>
          <w:kern w:val="0"/>
          <w:sz w:val="32"/>
          <w:szCs w:val="32"/>
          <w:highlight w:val="none"/>
          <w:u w:val="none"/>
        </w:rPr>
        <w:t>00</w:t>
      </w:r>
      <w:r>
        <w:rPr>
          <w:rFonts w:hint="eastAsia" w:ascii="仿宋_GB2312" w:eastAsia="仿宋_GB2312"/>
          <w:kern w:val="0"/>
          <w:sz w:val="32"/>
          <w:szCs w:val="32"/>
          <w:highlight w:val="none"/>
          <w:u w:val="none"/>
        </w:rPr>
        <w:t>万</w:t>
      </w:r>
      <w:r>
        <w:rPr>
          <w:rFonts w:hint="eastAsia" w:ascii="仿宋_GB2312" w:eastAsia="仿宋_GB2312"/>
          <w:kern w:val="0"/>
          <w:sz w:val="32"/>
          <w:szCs w:val="32"/>
          <w:highlight w:val="none"/>
        </w:rPr>
        <w:t>元以下，或者占发生损失企业追索责任认定年度上年末资产</w:t>
      </w:r>
      <w:r>
        <w:rPr>
          <w:kern w:val="0"/>
          <w:sz w:val="32"/>
          <w:szCs w:val="32"/>
          <w:highlight w:val="none"/>
        </w:rPr>
        <w:t>1%</w:t>
      </w:r>
      <w:r>
        <w:rPr>
          <w:rFonts w:hint="eastAsia" w:ascii="仿宋_GB2312" w:eastAsia="仿宋_GB2312"/>
          <w:kern w:val="0"/>
          <w:sz w:val="32"/>
          <w:szCs w:val="32"/>
          <w:highlight w:val="none"/>
        </w:rPr>
        <w:t>以下（以下不含本数，下同）；</w:t>
      </w:r>
    </w:p>
    <w:p>
      <w:pPr>
        <w:shd w:val="clear" w:color="auto" w:fill="FFFFFF"/>
        <w:spacing w:line="560" w:lineRule="exact"/>
        <w:rPr>
          <w:kern w:val="0"/>
          <w:sz w:val="32"/>
          <w:szCs w:val="32"/>
          <w:highlight w:val="none"/>
        </w:rPr>
      </w:pPr>
      <w:r>
        <w:rPr>
          <w:rFonts w:hint="eastAsia" w:ascii="仿宋_GB2312" w:eastAsia="仿宋_GB2312"/>
          <w:kern w:val="0"/>
          <w:sz w:val="32"/>
          <w:szCs w:val="32"/>
          <w:highlight w:val="none"/>
        </w:rPr>
        <w:t>　　（二）较大资产损失，是指单笔资产损失价值</w:t>
      </w:r>
      <w:r>
        <w:rPr>
          <w:rFonts w:hint="eastAsia" w:ascii="仿宋_GB2312" w:eastAsia="仿宋_GB2312"/>
          <w:kern w:val="0"/>
          <w:sz w:val="32"/>
          <w:szCs w:val="32"/>
          <w:highlight w:val="none"/>
          <w:u w:val="none"/>
        </w:rPr>
        <w:t>在</w:t>
      </w:r>
      <w:r>
        <w:rPr>
          <w:rFonts w:hint="eastAsia" w:ascii="仿宋_GB2312" w:eastAsia="仿宋_GB2312"/>
          <w:kern w:val="0"/>
          <w:sz w:val="32"/>
          <w:szCs w:val="32"/>
          <w:highlight w:val="none"/>
          <w:u w:val="none"/>
          <w:lang w:val="en-US" w:eastAsia="zh-CN"/>
        </w:rPr>
        <w:t>3</w:t>
      </w:r>
      <w:r>
        <w:rPr>
          <w:kern w:val="0"/>
          <w:sz w:val="32"/>
          <w:szCs w:val="32"/>
          <w:highlight w:val="none"/>
          <w:u w:val="none"/>
        </w:rPr>
        <w:t>00</w:t>
      </w:r>
      <w:r>
        <w:rPr>
          <w:rFonts w:hint="eastAsia" w:ascii="仿宋_GB2312" w:eastAsia="仿宋_GB2312"/>
          <w:kern w:val="0"/>
          <w:sz w:val="32"/>
          <w:szCs w:val="32"/>
          <w:highlight w:val="none"/>
          <w:u w:val="none"/>
        </w:rPr>
        <w:t>万元以上</w:t>
      </w:r>
      <w:r>
        <w:rPr>
          <w:rFonts w:hint="eastAsia" w:ascii="仿宋_GB2312" w:eastAsia="仿宋_GB2312"/>
          <w:kern w:val="0"/>
          <w:sz w:val="32"/>
          <w:szCs w:val="32"/>
          <w:highlight w:val="none"/>
          <w:u w:val="none"/>
          <w:lang w:val="en-US" w:eastAsia="zh-CN"/>
        </w:rPr>
        <w:t>1</w:t>
      </w:r>
      <w:r>
        <w:rPr>
          <w:kern w:val="0"/>
          <w:sz w:val="32"/>
          <w:szCs w:val="32"/>
          <w:highlight w:val="none"/>
          <w:u w:val="none"/>
        </w:rPr>
        <w:t>00</w:t>
      </w:r>
      <w:r>
        <w:rPr>
          <w:rFonts w:hint="eastAsia"/>
          <w:kern w:val="0"/>
          <w:sz w:val="32"/>
          <w:szCs w:val="32"/>
          <w:highlight w:val="none"/>
          <w:u w:val="none"/>
          <w:lang w:val="en-US" w:eastAsia="zh-CN"/>
        </w:rPr>
        <w:t>0</w:t>
      </w:r>
      <w:r>
        <w:rPr>
          <w:rFonts w:hint="eastAsia" w:ascii="仿宋_GB2312" w:eastAsia="仿宋_GB2312"/>
          <w:kern w:val="0"/>
          <w:sz w:val="32"/>
          <w:szCs w:val="32"/>
          <w:highlight w:val="none"/>
          <w:u w:val="none"/>
        </w:rPr>
        <w:t>万元以下（以上均含本数，下同）</w:t>
      </w:r>
      <w:r>
        <w:rPr>
          <w:rFonts w:hint="eastAsia" w:ascii="仿宋_GB2312" w:eastAsia="仿宋_GB2312"/>
          <w:kern w:val="0"/>
          <w:sz w:val="32"/>
          <w:szCs w:val="32"/>
          <w:highlight w:val="none"/>
        </w:rPr>
        <w:t>，或者占发生损失企业追索责任认定年度上年末资产</w:t>
      </w:r>
      <w:r>
        <w:rPr>
          <w:kern w:val="0"/>
          <w:sz w:val="32"/>
          <w:szCs w:val="32"/>
          <w:highlight w:val="none"/>
        </w:rPr>
        <w:t>1%</w:t>
      </w:r>
      <w:r>
        <w:rPr>
          <w:rFonts w:hint="eastAsia" w:ascii="仿宋_GB2312" w:eastAsia="仿宋_GB2312"/>
          <w:kern w:val="0"/>
          <w:sz w:val="32"/>
          <w:szCs w:val="32"/>
          <w:highlight w:val="none"/>
        </w:rPr>
        <w:t>以上</w:t>
      </w:r>
      <w:r>
        <w:rPr>
          <w:kern w:val="0"/>
          <w:sz w:val="32"/>
          <w:szCs w:val="32"/>
          <w:highlight w:val="none"/>
        </w:rPr>
        <w:t>3%</w:t>
      </w:r>
      <w:r>
        <w:rPr>
          <w:rFonts w:hint="eastAsia" w:ascii="仿宋_GB2312" w:eastAsia="仿宋_GB2312"/>
          <w:kern w:val="0"/>
          <w:sz w:val="32"/>
          <w:szCs w:val="32"/>
          <w:highlight w:val="none"/>
        </w:rPr>
        <w:t>以下；</w:t>
      </w:r>
    </w:p>
    <w:p>
      <w:pPr>
        <w:shd w:val="clear" w:color="auto" w:fill="FFFFFF"/>
        <w:spacing w:line="560" w:lineRule="exact"/>
        <w:rPr>
          <w:kern w:val="0"/>
          <w:sz w:val="32"/>
          <w:szCs w:val="32"/>
          <w:highlight w:val="none"/>
        </w:rPr>
      </w:pPr>
      <w:r>
        <w:rPr>
          <w:rFonts w:hint="eastAsia" w:ascii="仿宋_GB2312" w:eastAsia="仿宋_GB2312"/>
          <w:kern w:val="0"/>
          <w:sz w:val="32"/>
          <w:szCs w:val="32"/>
          <w:highlight w:val="none"/>
        </w:rPr>
        <w:t>　　（三）重大资产损失，是指单笔资产损失价值</w:t>
      </w:r>
      <w:r>
        <w:rPr>
          <w:rFonts w:hint="eastAsia" w:ascii="仿宋_GB2312" w:eastAsia="仿宋_GB2312"/>
          <w:kern w:val="0"/>
          <w:sz w:val="32"/>
          <w:szCs w:val="32"/>
          <w:highlight w:val="none"/>
          <w:u w:val="none"/>
        </w:rPr>
        <w:t>在</w:t>
      </w:r>
      <w:r>
        <w:rPr>
          <w:rFonts w:hint="eastAsia" w:ascii="仿宋_GB2312" w:eastAsia="仿宋_GB2312"/>
          <w:kern w:val="0"/>
          <w:sz w:val="32"/>
          <w:szCs w:val="32"/>
          <w:highlight w:val="none"/>
          <w:u w:val="none"/>
          <w:lang w:val="en-US" w:eastAsia="zh-CN"/>
        </w:rPr>
        <w:t>10</w:t>
      </w:r>
      <w:r>
        <w:rPr>
          <w:kern w:val="0"/>
          <w:sz w:val="32"/>
          <w:szCs w:val="32"/>
          <w:highlight w:val="none"/>
          <w:u w:val="none"/>
        </w:rPr>
        <w:t>00</w:t>
      </w:r>
      <w:r>
        <w:rPr>
          <w:rFonts w:hint="eastAsia" w:ascii="仿宋_GB2312" w:eastAsia="仿宋_GB2312"/>
          <w:kern w:val="0"/>
          <w:sz w:val="32"/>
          <w:szCs w:val="32"/>
          <w:highlight w:val="none"/>
          <w:u w:val="none"/>
        </w:rPr>
        <w:t>万</w:t>
      </w:r>
      <w:r>
        <w:rPr>
          <w:rFonts w:hint="eastAsia" w:ascii="仿宋_GB2312" w:eastAsia="仿宋_GB2312"/>
          <w:kern w:val="0"/>
          <w:sz w:val="32"/>
          <w:szCs w:val="32"/>
          <w:highlight w:val="none"/>
        </w:rPr>
        <w:t>元以上，或者占发生损失企业追索责任认定年度上年末资产</w:t>
      </w:r>
      <w:r>
        <w:rPr>
          <w:kern w:val="0"/>
          <w:sz w:val="32"/>
          <w:szCs w:val="32"/>
          <w:highlight w:val="none"/>
        </w:rPr>
        <w:t>3%</w:t>
      </w:r>
      <w:r>
        <w:rPr>
          <w:rFonts w:hint="eastAsia" w:ascii="仿宋_GB2312" w:eastAsia="仿宋_GB2312"/>
          <w:kern w:val="0"/>
          <w:sz w:val="32"/>
          <w:szCs w:val="32"/>
          <w:highlight w:val="none"/>
        </w:rPr>
        <w:t>以上。</w:t>
      </w:r>
    </w:p>
    <w:p>
      <w:pPr>
        <w:shd w:val="clear" w:color="auto" w:fill="FFFFFF"/>
        <w:spacing w:line="560" w:lineRule="exact"/>
        <w:rPr>
          <w:kern w:val="0"/>
          <w:sz w:val="32"/>
          <w:szCs w:val="32"/>
          <w:highlight w:val="none"/>
        </w:rPr>
      </w:pPr>
      <w:r>
        <w:rPr>
          <w:rFonts w:hint="eastAsia" w:ascii="仿宋_GB2312" w:eastAsia="仿宋_GB2312"/>
          <w:kern w:val="0"/>
          <w:sz w:val="32"/>
          <w:szCs w:val="32"/>
          <w:highlight w:val="none"/>
        </w:rPr>
        <w:t>　　涉及违纪违法和犯罪行为查处的损失标准，遵照相关党内法规和国家法律法规的规定执行。</w:t>
      </w:r>
    </w:p>
    <w:p>
      <w:pPr>
        <w:shd w:val="clear" w:color="auto" w:fill="FFFFFF"/>
        <w:spacing w:line="560" w:lineRule="exact"/>
        <w:rPr>
          <w:kern w:val="0"/>
          <w:sz w:val="32"/>
          <w:szCs w:val="32"/>
          <w:highlight w:val="none"/>
        </w:rPr>
      </w:pPr>
      <w:r>
        <w:rPr>
          <w:rFonts w:hint="eastAsia" w:ascii="仿宋_GB2312" w:eastAsia="仿宋_GB2312"/>
          <w:kern w:val="0"/>
          <w:sz w:val="32"/>
          <w:szCs w:val="32"/>
          <w:highlight w:val="none"/>
        </w:rPr>
        <w:t>　　</w:t>
      </w:r>
    </w:p>
    <w:p>
      <w:pPr>
        <w:shd w:val="clear" w:color="auto" w:fill="FFFFFF"/>
        <w:spacing w:line="560" w:lineRule="exact"/>
        <w:jc w:val="center"/>
        <w:rPr>
          <w:kern w:val="0"/>
          <w:sz w:val="32"/>
          <w:szCs w:val="32"/>
          <w:highlight w:val="none"/>
        </w:rPr>
      </w:pPr>
      <w:r>
        <w:rPr>
          <w:rFonts w:hint="eastAsia" w:ascii="黑体" w:hAnsi="黑体" w:eastAsia="黑体"/>
          <w:kern w:val="0"/>
          <w:sz w:val="32"/>
          <w:szCs w:val="32"/>
          <w:highlight w:val="none"/>
        </w:rPr>
        <w:t>第四章</w:t>
      </w:r>
      <w:r>
        <w:rPr>
          <w:rFonts w:hint="eastAsia" w:ascii="宋体" w:hAnsi="宋体" w:cs="宋体"/>
          <w:kern w:val="0"/>
          <w:sz w:val="32"/>
          <w:szCs w:val="32"/>
          <w:highlight w:val="none"/>
        </w:rPr>
        <w:t> </w:t>
      </w:r>
      <w:r>
        <w:rPr>
          <w:rFonts w:hint="eastAsia" w:ascii="宋体" w:hAnsi="宋体" w:cs="宋体"/>
          <w:kern w:val="0"/>
          <w:sz w:val="32"/>
          <w:highlight w:val="none"/>
        </w:rPr>
        <w:t> </w:t>
      </w:r>
      <w:r>
        <w:rPr>
          <w:rFonts w:hint="eastAsia" w:ascii="黑体" w:hAnsi="黑体" w:eastAsia="黑体"/>
          <w:kern w:val="0"/>
          <w:sz w:val="32"/>
          <w:szCs w:val="32"/>
          <w:highlight w:val="none"/>
        </w:rPr>
        <w:t>责任认定</w:t>
      </w:r>
    </w:p>
    <w:p>
      <w:pPr>
        <w:shd w:val="clear" w:color="auto" w:fill="FFFFFF"/>
        <w:spacing w:line="560" w:lineRule="exact"/>
        <w:rPr>
          <w:kern w:val="0"/>
          <w:sz w:val="32"/>
          <w:szCs w:val="32"/>
          <w:highlight w:val="none"/>
        </w:rPr>
      </w:pPr>
      <w:r>
        <w:rPr>
          <w:kern w:val="0"/>
          <w:sz w:val="32"/>
          <w:szCs w:val="32"/>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kern w:val="0"/>
          <w:sz w:val="32"/>
          <w:szCs w:val="32"/>
          <w:highlight w:val="none"/>
        </w:rPr>
      </w:pPr>
      <w:r>
        <w:rPr>
          <w:rFonts w:hint="eastAsia" w:ascii="黑体" w:hAnsi="黑体" w:eastAsia="黑体"/>
          <w:kern w:val="0"/>
          <w:sz w:val="32"/>
          <w:szCs w:val="32"/>
          <w:highlight w:val="none"/>
        </w:rPr>
        <w:t>第二十</w:t>
      </w:r>
      <w:r>
        <w:rPr>
          <w:rFonts w:hint="eastAsia" w:ascii="黑体" w:hAnsi="黑体" w:eastAsia="黑体"/>
          <w:kern w:val="0"/>
          <w:sz w:val="32"/>
          <w:szCs w:val="32"/>
          <w:highlight w:val="none"/>
          <w:lang w:eastAsia="zh-CN"/>
        </w:rPr>
        <w:t>三</w:t>
      </w:r>
      <w:r>
        <w:rPr>
          <w:rFonts w:hint="eastAsia" w:ascii="黑体" w:hAnsi="黑体" w:eastAsia="黑体"/>
          <w:kern w:val="0"/>
          <w:sz w:val="32"/>
          <w:szCs w:val="32"/>
          <w:highlight w:val="none"/>
        </w:rPr>
        <w:t>条</w:t>
      </w:r>
      <w:r>
        <w:rPr>
          <w:rFonts w:hint="eastAsia" w:eastAsia="黑体"/>
          <w:kern w:val="0"/>
          <w:sz w:val="32"/>
          <w:szCs w:val="32"/>
          <w:highlight w:val="none"/>
          <w:lang w:val="en-US" w:eastAsia="zh-CN"/>
        </w:rPr>
        <w:t xml:space="preserve">  </w:t>
      </w:r>
      <w:r>
        <w:rPr>
          <w:rFonts w:hint="eastAsia" w:ascii="仿宋_GB2312" w:eastAsia="仿宋_GB2312"/>
          <w:kern w:val="0"/>
          <w:sz w:val="32"/>
          <w:szCs w:val="32"/>
          <w:highlight w:val="none"/>
          <w:lang w:eastAsia="zh-CN"/>
        </w:rPr>
        <w:t>企业经营管理有关人员任职期间违反规定，未履行或未正确履行职责造成国有资产损失或其他严重不良后果的，应当追究其相应责任；已调任其他岗位、离职或退休的，应当纳入责任追究范围，实行重大决策终身责任追究。</w:t>
      </w:r>
    </w:p>
    <w:p>
      <w:pPr>
        <w:shd w:val="clear" w:color="auto" w:fill="FFFFFF"/>
        <w:spacing w:line="560" w:lineRule="exact"/>
        <w:rPr>
          <w:kern w:val="0"/>
          <w:sz w:val="32"/>
          <w:szCs w:val="32"/>
          <w:highlight w:val="none"/>
        </w:rPr>
      </w:pPr>
      <w:r>
        <w:rPr>
          <w:rFonts w:hint="eastAsia" w:ascii="仿宋_GB2312" w:eastAsia="仿宋_GB2312"/>
          <w:kern w:val="0"/>
          <w:sz w:val="32"/>
          <w:szCs w:val="32"/>
          <w:highlight w:val="none"/>
        </w:rPr>
        <w:t>　　</w:t>
      </w:r>
      <w:r>
        <w:rPr>
          <w:rFonts w:hint="eastAsia" w:ascii="黑体" w:hAnsi="黑体" w:eastAsia="黑体"/>
          <w:kern w:val="0"/>
          <w:sz w:val="32"/>
          <w:szCs w:val="32"/>
          <w:highlight w:val="none"/>
        </w:rPr>
        <w:t>第二十</w:t>
      </w:r>
      <w:r>
        <w:rPr>
          <w:rFonts w:hint="eastAsia" w:ascii="黑体" w:hAnsi="黑体" w:eastAsia="黑体"/>
          <w:kern w:val="0"/>
          <w:sz w:val="32"/>
          <w:szCs w:val="32"/>
          <w:highlight w:val="none"/>
          <w:lang w:eastAsia="zh-CN"/>
        </w:rPr>
        <w:t>四</w:t>
      </w:r>
      <w:r>
        <w:rPr>
          <w:rFonts w:hint="eastAsia" w:ascii="黑体" w:hAnsi="黑体" w:eastAsia="黑体"/>
          <w:kern w:val="0"/>
          <w:sz w:val="32"/>
          <w:szCs w:val="32"/>
          <w:highlight w:val="none"/>
        </w:rPr>
        <w:t>条</w:t>
      </w:r>
      <w:r>
        <w:rPr>
          <w:rFonts w:hint="eastAsia" w:ascii="仿宋_GB2312" w:eastAsia="仿宋_GB2312"/>
          <w:kern w:val="0"/>
          <w:sz w:val="32"/>
          <w:szCs w:val="32"/>
          <w:highlight w:val="none"/>
          <w:lang w:val="en-US" w:eastAsia="zh-CN"/>
        </w:rPr>
        <w:t xml:space="preserve">  </w:t>
      </w:r>
      <w:r>
        <w:rPr>
          <w:rFonts w:hint="eastAsia" w:ascii="仿宋_GB2312" w:eastAsia="仿宋_GB2312"/>
          <w:kern w:val="0"/>
          <w:sz w:val="32"/>
          <w:szCs w:val="32"/>
          <w:highlight w:val="none"/>
        </w:rPr>
        <w:t>违规经营投资责任根据工作职责划分为直接责任、主管责任和领导责任。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（一）直接责任是指相关人员在其工作职责范围内，违反规定，未履行或未正确履行职责，对造成的资产损失或其他严重不良后果起决定性直接作用时应当承担的责任。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（二）主管责任是指相关人员在其直接主管（分管）工作职责范围内，违反规定，未履行或未正确履行职责，对造成的资产损失或其他严重不良后果应当承担的责任。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（三）领导责任是指企业主要负责人在其工作职责范围内，违反规定，未履行或未正确履行职责，对造成的资产损失或其他严重不良后果应当承担的责任。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kern w:val="0"/>
          <w:sz w:val="32"/>
          <w:szCs w:val="32"/>
          <w:highlight w:val="none"/>
        </w:rPr>
      </w:pPr>
      <w:r>
        <w:rPr>
          <w:rFonts w:hint="eastAsia" w:ascii="黑体" w:hAnsi="黑体" w:eastAsia="黑体"/>
          <w:kern w:val="0"/>
          <w:sz w:val="32"/>
          <w:szCs w:val="32"/>
          <w:highlight w:val="none"/>
        </w:rPr>
        <w:t>第二十</w:t>
      </w:r>
      <w:r>
        <w:rPr>
          <w:rFonts w:hint="eastAsia" w:ascii="黑体" w:hAnsi="黑体" w:eastAsia="黑体"/>
          <w:kern w:val="0"/>
          <w:sz w:val="32"/>
          <w:szCs w:val="32"/>
          <w:highlight w:val="none"/>
          <w:lang w:eastAsia="zh-CN"/>
        </w:rPr>
        <w:t>五</w:t>
      </w:r>
      <w:r>
        <w:rPr>
          <w:rFonts w:hint="eastAsia" w:ascii="黑体" w:hAnsi="黑体" w:eastAsia="黑体"/>
          <w:kern w:val="0"/>
          <w:sz w:val="32"/>
          <w:szCs w:val="32"/>
          <w:highlight w:val="none"/>
        </w:rPr>
        <w:t>条</w:t>
      </w:r>
      <w:r>
        <w:rPr>
          <w:rFonts w:hint="eastAsia" w:ascii="仿宋_GB2312" w:eastAsia="仿宋_GB2312"/>
          <w:kern w:val="0"/>
          <w:sz w:val="32"/>
          <w:szCs w:val="32"/>
          <w:highlight w:val="none"/>
          <w:lang w:val="en-US" w:eastAsia="zh-CN"/>
        </w:rPr>
        <w:t xml:space="preserve">  </w:t>
      </w:r>
      <w:r>
        <w:rPr>
          <w:rFonts w:hint="eastAsia" w:ascii="仿宋_GB2312" w:eastAsia="仿宋_GB2312"/>
          <w:kern w:val="0"/>
          <w:sz w:val="32"/>
          <w:szCs w:val="32"/>
          <w:highlight w:val="none"/>
          <w:lang w:eastAsia="zh-CN"/>
        </w:rPr>
        <w:t>企业负责人存在以下情形的，应当承担直接责任：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（一）本人或与他人共同违反国家法律法规、国有资产监管规章制度和企业内部管理规定。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（二）授意、指使、强令、纵容、包庇下属人员违反国家法律法规、国有资产监管规章制度和企业内部管理规定。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（三）未经规定程序或超越权限，直接决定、批准、组织实施重大经济事项。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（四）主持相关会议讨论或以其他方式研究时，在多数人不同意的情况下，直接决定、批准、组织实施重大经济事项。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（五）将按有关法律法规制度应作为第一责任人（总负责）的事项、签订的有关目标责任事项或应当履行的其他重要职责，授权（委托）其他领导人员决策且决策不当或决策失误等。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（六）其他应当承担直接责任的行为。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黑体" w:hAnsi="黑体" w:eastAsia="黑体"/>
          <w:kern w:val="0"/>
          <w:sz w:val="32"/>
          <w:szCs w:val="32"/>
          <w:highlight w:val="none"/>
        </w:rPr>
        <w:t>第二十</w:t>
      </w:r>
      <w:r>
        <w:rPr>
          <w:rFonts w:hint="eastAsia" w:ascii="黑体" w:hAnsi="黑体" w:eastAsia="黑体"/>
          <w:kern w:val="0"/>
          <w:sz w:val="32"/>
          <w:szCs w:val="32"/>
          <w:highlight w:val="none"/>
          <w:lang w:eastAsia="zh-CN"/>
        </w:rPr>
        <w:t>六</w:t>
      </w:r>
      <w:r>
        <w:rPr>
          <w:rFonts w:hint="eastAsia" w:ascii="黑体" w:hAnsi="黑体" w:eastAsia="黑体"/>
          <w:kern w:val="0"/>
          <w:sz w:val="32"/>
          <w:szCs w:val="32"/>
          <w:highlight w:val="none"/>
        </w:rPr>
        <w:t>条</w:t>
      </w:r>
      <w:r>
        <w:rPr>
          <w:rFonts w:hint="eastAsia" w:ascii="黑体" w:hAnsi="黑体" w:eastAsia="黑体"/>
          <w:kern w:val="0"/>
          <w:sz w:val="32"/>
          <w:szCs w:val="32"/>
          <w:highlight w:val="none"/>
          <w:lang w:val="en-US" w:eastAsia="zh-CN"/>
        </w:rPr>
        <w:t xml:space="preserve"> </w:t>
      </w:r>
      <w:r>
        <w:rPr>
          <w:rFonts w:hint="eastAsia" w:ascii="仿宋_GB2312" w:eastAsia="仿宋_GB2312"/>
          <w:kern w:val="0"/>
          <w:sz w:val="32"/>
          <w:szCs w:val="32"/>
          <w:highlight w:val="none"/>
        </w:rPr>
        <w:t>　</w:t>
      </w:r>
      <w:r>
        <w:rPr>
          <w:rFonts w:hint="eastAsia" w:ascii="仿宋_GB2312" w:eastAsia="仿宋_GB2312"/>
          <w:kern w:val="0"/>
          <w:sz w:val="32"/>
          <w:szCs w:val="32"/>
          <w:highlight w:val="none"/>
          <w:lang w:eastAsia="zh-CN"/>
        </w:rPr>
        <w:t>监管企业所属子企业违规经营投资致使发生以下情形的，上级企业经营管理有关人员应当承担相应的责任：</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（一）发生重大资产损失且对企业生产经营、财务状况产生重大影响的。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（二）多次发生较大、重大资产损失，或造成其他严重不良后果的。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除上一级企业有关人员外，更高层级企业有关人员也应当承担相应责任的情形包括：</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（一）发生违规违纪违法问题，造成资产损失金额巨大且危及企业生存发展的。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kern w:val="0"/>
          <w:sz w:val="32"/>
          <w:szCs w:val="32"/>
          <w:highlight w:val="none"/>
        </w:rPr>
      </w:pPr>
      <w:r>
        <w:rPr>
          <w:rFonts w:hint="eastAsia" w:ascii="仿宋_GB2312" w:eastAsia="仿宋_GB2312"/>
          <w:kern w:val="0"/>
          <w:sz w:val="32"/>
          <w:szCs w:val="32"/>
          <w:highlight w:val="none"/>
          <w:lang w:eastAsia="zh-CN"/>
        </w:rPr>
        <w:t>（二）在一定时期内多家所属子企业连续集中发生重大资产损失，或造成其他严重不良后果的。</w:t>
      </w:r>
      <w:r>
        <w:rPr>
          <w:rFonts w:hint="eastAsia" w:ascii="仿宋_GB2312" w:eastAsia="仿宋_GB2312"/>
          <w:kern w:val="0"/>
          <w:sz w:val="32"/>
          <w:szCs w:val="32"/>
          <w:highlight w:val="none"/>
        </w:rPr>
        <w:t>。</w:t>
      </w:r>
    </w:p>
    <w:p>
      <w:pPr>
        <w:shd w:val="clear" w:color="auto" w:fill="FFFFFF"/>
        <w:spacing w:line="560" w:lineRule="exact"/>
        <w:ind w:firstLine="640"/>
        <w:rPr>
          <w:rFonts w:hint="eastAsia" w:ascii="仿宋_GB2312" w:eastAsia="仿宋_GB2312"/>
          <w:kern w:val="0"/>
          <w:sz w:val="32"/>
          <w:szCs w:val="32"/>
          <w:highlight w:val="none"/>
        </w:rPr>
      </w:pPr>
      <w:r>
        <w:rPr>
          <w:rFonts w:hint="eastAsia" w:ascii="黑体" w:hAnsi="黑体" w:eastAsia="黑体"/>
          <w:kern w:val="0"/>
          <w:sz w:val="32"/>
          <w:szCs w:val="32"/>
          <w:highlight w:val="none"/>
        </w:rPr>
        <w:t>第二十</w:t>
      </w:r>
      <w:r>
        <w:rPr>
          <w:rFonts w:hint="eastAsia" w:ascii="黑体" w:hAnsi="黑体" w:eastAsia="黑体"/>
          <w:kern w:val="0"/>
          <w:sz w:val="32"/>
          <w:szCs w:val="32"/>
          <w:highlight w:val="none"/>
          <w:lang w:eastAsia="zh-CN"/>
        </w:rPr>
        <w:t>七</w:t>
      </w:r>
      <w:r>
        <w:rPr>
          <w:rFonts w:hint="eastAsia" w:ascii="黑体" w:hAnsi="黑体" w:eastAsia="黑体"/>
          <w:kern w:val="0"/>
          <w:sz w:val="32"/>
          <w:szCs w:val="32"/>
          <w:highlight w:val="none"/>
        </w:rPr>
        <w:t>条</w:t>
      </w:r>
      <w:r>
        <w:rPr>
          <w:rFonts w:hint="eastAsia" w:ascii="仿宋_GB2312" w:eastAsia="仿宋_GB2312"/>
          <w:kern w:val="0"/>
          <w:sz w:val="32"/>
          <w:szCs w:val="32"/>
          <w:highlight w:val="none"/>
        </w:rPr>
        <w:t>　</w:t>
      </w:r>
      <w:r>
        <w:rPr>
          <w:rFonts w:hint="eastAsia" w:ascii="仿宋_GB2312" w:eastAsia="仿宋_GB2312"/>
          <w:kern w:val="0"/>
          <w:sz w:val="32"/>
          <w:szCs w:val="32"/>
          <w:highlight w:val="none"/>
          <w:lang w:eastAsia="zh-CN"/>
        </w:rPr>
        <w:t>企业违反规定瞒报、漏报或谎报重大资产损失的，对企业主要负责人和分管负责人比照领导责任和主管责任进行责任认定</w:t>
      </w:r>
      <w:r>
        <w:rPr>
          <w:rFonts w:hint="eastAsia" w:ascii="仿宋_GB2312" w:eastAsia="仿宋_GB2312"/>
          <w:kern w:val="0"/>
          <w:sz w:val="32"/>
          <w:szCs w:val="32"/>
          <w:highlight w:val="none"/>
        </w:rPr>
        <w:t>。</w:t>
      </w:r>
    </w:p>
    <w:p>
      <w:pPr>
        <w:shd w:val="clear" w:color="auto" w:fill="FFFFFF"/>
        <w:spacing w:line="560" w:lineRule="exact"/>
        <w:ind w:firstLine="640"/>
        <w:rPr>
          <w:rFonts w:hint="eastAsia" w:ascii="仿宋_GB2312" w:eastAsia="仿宋_GB2312"/>
          <w:kern w:val="0"/>
          <w:sz w:val="32"/>
          <w:szCs w:val="32"/>
          <w:highlight w:val="none"/>
          <w:lang w:eastAsia="zh-CN"/>
        </w:rPr>
      </w:pPr>
      <w:r>
        <w:rPr>
          <w:rFonts w:hint="eastAsia" w:ascii="黑体" w:hAnsi="黑体" w:eastAsia="黑体"/>
          <w:kern w:val="0"/>
          <w:sz w:val="32"/>
          <w:szCs w:val="32"/>
          <w:highlight w:val="none"/>
          <w:lang w:eastAsia="zh-CN"/>
        </w:rPr>
        <w:t>第二十八条</w:t>
      </w:r>
      <w:r>
        <w:rPr>
          <w:rFonts w:hint="eastAsia" w:ascii="仿宋_GB2312" w:eastAsia="仿宋_GB2312"/>
          <w:kern w:val="0"/>
          <w:sz w:val="32"/>
          <w:szCs w:val="32"/>
          <w:highlight w:val="none"/>
          <w:lang w:eastAsia="zh-CN"/>
        </w:rPr>
        <w:t>  企业未按规定和有关工作职责要求组织开展责任追究工作的，对企业负责人及有关人员比照领导责任、主管责任和直接责任进行责任认定。</w:t>
      </w:r>
    </w:p>
    <w:p>
      <w:pPr>
        <w:shd w:val="clear" w:color="auto" w:fill="FFFFFF"/>
        <w:spacing w:line="560" w:lineRule="exact"/>
        <w:ind w:firstLine="640"/>
        <w:rPr>
          <w:rFonts w:hint="eastAsia" w:ascii="仿宋_GB2312" w:eastAsia="仿宋_GB2312"/>
          <w:kern w:val="0"/>
          <w:sz w:val="32"/>
          <w:szCs w:val="32"/>
          <w:highlight w:val="none"/>
          <w:lang w:eastAsia="zh-CN"/>
        </w:rPr>
      </w:pPr>
      <w:r>
        <w:rPr>
          <w:rFonts w:hint="eastAsia" w:ascii="黑体" w:hAnsi="黑体" w:eastAsia="黑体"/>
          <w:kern w:val="0"/>
          <w:sz w:val="32"/>
          <w:szCs w:val="32"/>
          <w:highlight w:val="none"/>
          <w:lang w:eastAsia="zh-CN"/>
        </w:rPr>
        <w:t>第二十九条</w:t>
      </w:r>
      <w:r>
        <w:rPr>
          <w:rFonts w:hint="eastAsia" w:ascii="仿宋_GB2312" w:eastAsia="仿宋_GB2312"/>
          <w:kern w:val="0"/>
          <w:sz w:val="32"/>
          <w:szCs w:val="32"/>
          <w:highlight w:val="none"/>
          <w:lang w:eastAsia="zh-CN"/>
        </w:rPr>
        <w:t>  企业有关经营决策机构以集体决策形式作出违规经营投资的决策或实施其他违规经营投资的行为，造成资产损失或其他严重不良后果的，应当承担集体责任，有关成员也应当承担相应责任。</w:t>
      </w:r>
    </w:p>
    <w:p>
      <w:pPr>
        <w:shd w:val="clear" w:color="auto" w:fill="FFFFFF"/>
        <w:spacing w:line="560" w:lineRule="exact"/>
        <w:ind w:firstLine="640"/>
        <w:rPr>
          <w:kern w:val="0"/>
          <w:sz w:val="32"/>
          <w:szCs w:val="32"/>
          <w:highlight w:val="none"/>
        </w:rPr>
      </w:pPr>
      <w:r>
        <w:rPr>
          <w:kern w:val="0"/>
          <w:sz w:val="32"/>
          <w:szCs w:val="32"/>
          <w:highlight w:val="none"/>
        </w:rPr>
        <w:t> </w:t>
      </w:r>
    </w:p>
    <w:p>
      <w:pPr>
        <w:shd w:val="clear" w:color="auto" w:fill="FFFFFF"/>
        <w:spacing w:line="560" w:lineRule="exact"/>
        <w:jc w:val="center"/>
        <w:rPr>
          <w:kern w:val="0"/>
          <w:sz w:val="32"/>
          <w:szCs w:val="32"/>
          <w:highlight w:val="none"/>
        </w:rPr>
      </w:pPr>
      <w:r>
        <w:rPr>
          <w:rFonts w:hint="eastAsia" w:ascii="黑体" w:hAnsi="黑体" w:eastAsia="黑体"/>
          <w:kern w:val="0"/>
          <w:sz w:val="32"/>
          <w:szCs w:val="32"/>
          <w:highlight w:val="none"/>
        </w:rPr>
        <w:t>第五章</w:t>
      </w:r>
      <w:r>
        <w:rPr>
          <w:rFonts w:hint="eastAsia" w:ascii="宋体" w:hAnsi="宋体" w:cs="宋体"/>
          <w:kern w:val="0"/>
          <w:sz w:val="32"/>
          <w:szCs w:val="32"/>
          <w:highlight w:val="none"/>
        </w:rPr>
        <w:t> </w:t>
      </w:r>
      <w:r>
        <w:rPr>
          <w:rFonts w:hint="eastAsia" w:ascii="宋体" w:hAnsi="宋体" w:cs="宋体"/>
          <w:kern w:val="0"/>
          <w:sz w:val="32"/>
          <w:highlight w:val="none"/>
        </w:rPr>
        <w:t> </w:t>
      </w:r>
      <w:r>
        <w:rPr>
          <w:rFonts w:hint="eastAsia" w:ascii="黑体" w:hAnsi="黑体" w:eastAsia="黑体"/>
          <w:kern w:val="0"/>
          <w:sz w:val="32"/>
          <w:szCs w:val="32"/>
          <w:highlight w:val="none"/>
        </w:rPr>
        <w:t>责任追究处理</w:t>
      </w:r>
    </w:p>
    <w:p>
      <w:pPr>
        <w:shd w:val="clear" w:color="auto" w:fill="FFFFFF"/>
        <w:spacing w:line="560" w:lineRule="exact"/>
        <w:rPr>
          <w:kern w:val="0"/>
          <w:sz w:val="32"/>
          <w:szCs w:val="32"/>
          <w:highlight w:val="none"/>
        </w:rPr>
      </w:pPr>
      <w:r>
        <w:rPr>
          <w:kern w:val="0"/>
          <w:sz w:val="32"/>
          <w:szCs w:val="32"/>
          <w:highlight w:val="none"/>
        </w:rPr>
        <w:t> </w:t>
      </w:r>
    </w:p>
    <w:p>
      <w:pPr>
        <w:shd w:val="clear" w:color="auto" w:fill="FFFFFF"/>
        <w:spacing w:line="560" w:lineRule="exact"/>
        <w:rPr>
          <w:kern w:val="0"/>
          <w:sz w:val="32"/>
          <w:szCs w:val="32"/>
          <w:highlight w:val="none"/>
        </w:rPr>
      </w:pPr>
      <w:r>
        <w:rPr>
          <w:rFonts w:hint="eastAsia" w:ascii="仿宋_GB2312" w:eastAsia="仿宋_GB2312"/>
          <w:kern w:val="0"/>
          <w:sz w:val="32"/>
          <w:szCs w:val="32"/>
          <w:highlight w:val="none"/>
        </w:rPr>
        <w:t>　　</w:t>
      </w:r>
      <w:r>
        <w:rPr>
          <w:rFonts w:hint="eastAsia" w:ascii="黑体" w:hAnsi="黑体" w:eastAsia="黑体"/>
          <w:kern w:val="0"/>
          <w:sz w:val="32"/>
          <w:szCs w:val="32"/>
          <w:highlight w:val="none"/>
        </w:rPr>
        <w:t>第</w:t>
      </w:r>
      <w:r>
        <w:rPr>
          <w:rFonts w:hint="eastAsia" w:ascii="黑体" w:hAnsi="黑体" w:eastAsia="黑体"/>
          <w:kern w:val="0"/>
          <w:sz w:val="32"/>
          <w:szCs w:val="32"/>
          <w:highlight w:val="none"/>
          <w:lang w:eastAsia="zh-CN"/>
        </w:rPr>
        <w:t>三十</w:t>
      </w:r>
      <w:r>
        <w:rPr>
          <w:rFonts w:hint="eastAsia" w:ascii="黑体" w:hAnsi="黑体" w:eastAsia="黑体"/>
          <w:kern w:val="0"/>
          <w:sz w:val="32"/>
          <w:szCs w:val="32"/>
          <w:highlight w:val="none"/>
        </w:rPr>
        <w:t>条</w:t>
      </w:r>
      <w:r>
        <w:rPr>
          <w:rFonts w:hint="eastAsia" w:eastAsia="黑体"/>
          <w:kern w:val="0"/>
          <w:sz w:val="32"/>
          <w:szCs w:val="32"/>
          <w:highlight w:val="none"/>
          <w:lang w:val="en-US" w:eastAsia="zh-CN"/>
        </w:rPr>
        <w:t xml:space="preserve">  </w:t>
      </w:r>
      <w:r>
        <w:rPr>
          <w:rFonts w:hint="eastAsia" w:ascii="仿宋_GB2312" w:eastAsia="仿宋_GB2312"/>
          <w:kern w:val="0"/>
          <w:sz w:val="32"/>
          <w:szCs w:val="32"/>
          <w:highlight w:val="none"/>
        </w:rPr>
        <w:t>根据资产损失程度、问题性质等，对相关责任人采取组织处理、扣减薪酬、禁入限制、纪律处分、移送纪检监察机构或司法机关、其他处理等方式处理，可以单独使用，也可以合并使</w:t>
      </w:r>
      <w:r>
        <w:rPr>
          <w:rFonts w:hint="eastAsia" w:ascii="仿宋_GB2312" w:eastAsia="仿宋_GB2312"/>
          <w:kern w:val="0"/>
          <w:sz w:val="32"/>
          <w:szCs w:val="32"/>
          <w:highlight w:val="none"/>
          <w:lang w:eastAsia="zh-CN"/>
        </w:rPr>
        <w:t>用</w:t>
      </w:r>
      <w:r>
        <w:rPr>
          <w:rFonts w:hint="eastAsia" w:ascii="仿宋_GB2312" w:eastAsia="仿宋_GB2312"/>
          <w:kern w:val="0"/>
          <w:sz w:val="32"/>
          <w:szCs w:val="32"/>
          <w:highlight w:val="none"/>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（一）组织处理。包括停职检查、调整职务、责令辞职、免职、降职。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（二）扣减薪酬。扣减和追索绩效年薪或任期激励收入，终止或收回其他中长期激励收益，取消参加中长期激励资格等。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（三）禁入限制。五年内直至终身不得担任国有企业董事、高级管理人员。</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（四）纪律处分。由相应的纪检监察机构查处。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（五）移送司法机关处理。依据国家有关法律规定，由司法机关依法查处。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（六）其他处理。包括批评教育、责令检查、通报（通报批评）、诫勉等。</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以上处理方式可以单独使用，也可以合并使用。</w:t>
      </w:r>
    </w:p>
    <w:p>
      <w:pPr>
        <w:shd w:val="clear" w:color="auto" w:fill="FFFFFF"/>
        <w:spacing w:line="560" w:lineRule="exact"/>
        <w:rPr>
          <w:kern w:val="0"/>
          <w:sz w:val="32"/>
          <w:szCs w:val="32"/>
          <w:highlight w:val="none"/>
        </w:rPr>
      </w:pPr>
      <w:r>
        <w:rPr>
          <w:rFonts w:hint="eastAsia" w:ascii="仿宋_GB2312" w:eastAsia="仿宋_GB2312"/>
          <w:kern w:val="0"/>
          <w:sz w:val="32"/>
          <w:szCs w:val="32"/>
          <w:highlight w:val="none"/>
        </w:rPr>
        <w:t>　　</w:t>
      </w:r>
      <w:r>
        <w:rPr>
          <w:rFonts w:hint="eastAsia" w:ascii="黑体" w:hAnsi="黑体" w:eastAsia="黑体"/>
          <w:kern w:val="0"/>
          <w:sz w:val="32"/>
          <w:szCs w:val="32"/>
          <w:highlight w:val="none"/>
        </w:rPr>
        <w:t>第</w:t>
      </w:r>
      <w:r>
        <w:rPr>
          <w:rFonts w:hint="eastAsia" w:ascii="黑体" w:hAnsi="黑体" w:eastAsia="黑体"/>
          <w:kern w:val="0"/>
          <w:sz w:val="32"/>
          <w:szCs w:val="32"/>
          <w:highlight w:val="none"/>
          <w:lang w:eastAsia="zh-CN"/>
        </w:rPr>
        <w:t>三十一</w:t>
      </w:r>
      <w:r>
        <w:rPr>
          <w:rFonts w:hint="eastAsia" w:ascii="黑体" w:hAnsi="黑体" w:eastAsia="黑体"/>
          <w:kern w:val="0"/>
          <w:sz w:val="32"/>
          <w:szCs w:val="32"/>
          <w:highlight w:val="none"/>
        </w:rPr>
        <w:t>条</w:t>
      </w:r>
      <w:r>
        <w:rPr>
          <w:rFonts w:hint="eastAsia" w:eastAsia="黑体"/>
          <w:kern w:val="0"/>
          <w:sz w:val="32"/>
          <w:szCs w:val="32"/>
          <w:highlight w:val="none"/>
          <w:lang w:val="en-US" w:eastAsia="zh-CN"/>
        </w:rPr>
        <w:t xml:space="preserve">  </w:t>
      </w:r>
      <w:r>
        <w:rPr>
          <w:rFonts w:hint="eastAsia" w:ascii="仿宋_GB2312" w:eastAsia="仿宋_GB2312"/>
          <w:kern w:val="0"/>
          <w:sz w:val="32"/>
          <w:szCs w:val="32"/>
          <w:highlight w:val="none"/>
        </w:rPr>
        <w:t>企业发生资产损失，经过查证核实和责任认定后，除依据有关规定移送纪检监察机关、司法机关处理外，应当按以下方式处理：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（一）发生一般资产损失的，对直接责任人和主管责任人给予批评教育、责令检查、通报（通报批评）、诫勉等处理，可以扣减和追索责任认定年度50%以下的绩效年薪。</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二）发生较大资产损失的，对直接责任人和主管责任人给予通报（通报批评）、诫勉、停职检查、调整职务等处理，同时按照以下标准扣减薪酬：扣减和追索责任认定年度50%—100%的绩效年薪、扣减和追索责任认定年度（含）前三年50%—100%的任期激励收入并延期支付绩效年薪，终止尚未行使的其他中长期激励权益、上缴责任认定年度及前一年度的全部中长期激励收益、五年内不得参加企业新的中长期激励。</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对领导责任人给予通报（通报批评）、诫勉、停职检查、调整职务等处理，同时按照以下标准扣减薪酬：扣减和追索责任认定年度30%—70%的绩效年薪、扣减和追索责任认定年度（含）前三年30%—70%的任期激励收入并延期支付绩效年薪，终止尚未行使的其他中长期激励权益、三年内不得参加企业新的中长期激励。</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三）发生重大资产损失的，对直接责任人和主管责任人给予调整职务、责令辞职、免职、降职和禁入限制等处理，同时按照以下标准扣减薪酬：扣减和追索责任认定年度100%的绩效年薪、扣减和追索责任认定年度（含）前三年100%的任期激励收入并延期支付绩效年薪，终止尚未行使的其他中长期激励权益、上缴责任认定年度（含）前三年的全部中长期激励收益、不得参加企业新的中长期激励。</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对领导责任人给予调整职务、责令辞职、免职、降职和禁入限制等处理，同时按照以下标准扣减薪酬：扣减和追索责任认定年度70%—100%的绩效年薪、扣减和追索责任认定年度（含）前三年70%—100％的任期激励收入并延期支付绩效年薪，终止尚未行使的其他中长期激励权益、上缴责任认定年度（含）前三年的全部中长期激励收益、五年内不得参加企业新的中长期激励。</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kern w:val="0"/>
          <w:sz w:val="32"/>
          <w:szCs w:val="32"/>
          <w:highlight w:val="none"/>
        </w:rPr>
      </w:pPr>
      <w:r>
        <w:rPr>
          <w:rFonts w:hint="eastAsia" w:ascii="黑体" w:hAnsi="黑体" w:eastAsia="黑体"/>
          <w:kern w:val="0"/>
          <w:sz w:val="32"/>
          <w:szCs w:val="32"/>
          <w:highlight w:val="none"/>
        </w:rPr>
        <w:t>第</w:t>
      </w:r>
      <w:r>
        <w:rPr>
          <w:rFonts w:hint="eastAsia" w:ascii="黑体" w:hAnsi="黑体" w:eastAsia="黑体"/>
          <w:kern w:val="0"/>
          <w:sz w:val="32"/>
          <w:szCs w:val="32"/>
          <w:highlight w:val="none"/>
          <w:lang w:eastAsia="zh-CN"/>
        </w:rPr>
        <w:t>三十二</w:t>
      </w:r>
      <w:r>
        <w:rPr>
          <w:rFonts w:hint="eastAsia" w:ascii="黑体" w:hAnsi="黑体" w:eastAsia="黑体"/>
          <w:kern w:val="0"/>
          <w:sz w:val="32"/>
          <w:szCs w:val="32"/>
          <w:highlight w:val="none"/>
        </w:rPr>
        <w:t>条</w:t>
      </w:r>
      <w:r>
        <w:rPr>
          <w:rFonts w:hint="eastAsia" w:eastAsia="黑体"/>
          <w:kern w:val="0"/>
          <w:sz w:val="32"/>
          <w:szCs w:val="32"/>
          <w:highlight w:val="none"/>
          <w:lang w:val="en-US" w:eastAsia="zh-CN"/>
        </w:rPr>
        <w:t xml:space="preserve">  </w:t>
      </w:r>
      <w:r>
        <w:rPr>
          <w:rFonts w:hint="eastAsia" w:ascii="仿宋_GB2312" w:eastAsia="仿宋_GB2312"/>
          <w:kern w:val="0"/>
          <w:sz w:val="32"/>
          <w:szCs w:val="32"/>
          <w:highlight w:val="none"/>
        </w:rPr>
        <w:t>监管企业所属子企业发生资产损失，按照本办法应当追究监管企业有关人员责任时，对相关责任人给予批评教育、责令检查、通报（通报批评）、诫勉、停职检查、调整职务、责令辞职、免职、降职和禁入限制等处理，同时按照以下标准扣减薪酬：扣减和追索责任认定年度30%—100%的绩效年薪、扣减和追索责任认定年度（含）前三年30%—100%的任期激励收入并延期支付绩效年薪，终止尚未行使的其他中长期激励权益、上缴责任认定年度（含）前三年的全部中长期激励收益、三至五年内不得参加企业新的中长期激励。</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kern w:val="0"/>
          <w:sz w:val="32"/>
          <w:szCs w:val="32"/>
          <w:highlight w:val="none"/>
        </w:rPr>
      </w:pPr>
      <w:r>
        <w:rPr>
          <w:rFonts w:hint="eastAsia" w:ascii="黑体" w:hAnsi="黑体" w:eastAsia="黑体"/>
          <w:kern w:val="0"/>
          <w:sz w:val="32"/>
          <w:szCs w:val="32"/>
          <w:highlight w:val="none"/>
        </w:rPr>
        <w:t>第</w:t>
      </w:r>
      <w:r>
        <w:rPr>
          <w:rFonts w:hint="eastAsia" w:ascii="黑体" w:hAnsi="黑体" w:eastAsia="黑体"/>
          <w:kern w:val="0"/>
          <w:sz w:val="32"/>
          <w:szCs w:val="32"/>
          <w:highlight w:val="none"/>
          <w:lang w:eastAsia="zh-CN"/>
        </w:rPr>
        <w:t>三十三</w:t>
      </w:r>
      <w:r>
        <w:rPr>
          <w:rFonts w:hint="eastAsia" w:ascii="黑体" w:hAnsi="黑体" w:eastAsia="黑体"/>
          <w:kern w:val="0"/>
          <w:sz w:val="32"/>
          <w:szCs w:val="32"/>
          <w:highlight w:val="none"/>
        </w:rPr>
        <w:t>条</w:t>
      </w:r>
      <w:r>
        <w:rPr>
          <w:rFonts w:hint="eastAsia" w:ascii="仿宋_GB2312" w:eastAsia="仿宋_GB2312"/>
          <w:kern w:val="0"/>
          <w:sz w:val="32"/>
          <w:szCs w:val="32"/>
          <w:highlight w:val="none"/>
          <w:lang w:val="en-US" w:eastAsia="zh-CN"/>
        </w:rPr>
        <w:t xml:space="preserve">  </w:t>
      </w:r>
      <w:r>
        <w:rPr>
          <w:rFonts w:hint="eastAsia" w:ascii="仿宋_GB2312" w:eastAsia="仿宋_GB2312"/>
          <w:kern w:val="0"/>
          <w:sz w:val="32"/>
          <w:szCs w:val="32"/>
          <w:highlight w:val="none"/>
        </w:rPr>
        <w:t>对承担集体责任的企业有关经营决策机构，给予批评教育、责令检查、通报（通报批评）等处理；对造成资产损失金额巨大且危及企业生存发展的，或造成其他特别严重不良后果的，按照规定程序予以改组。</w:t>
      </w:r>
    </w:p>
    <w:p>
      <w:pPr>
        <w:shd w:val="clear" w:color="auto" w:fill="FFFFFF"/>
        <w:spacing w:line="560" w:lineRule="exact"/>
        <w:rPr>
          <w:kern w:val="0"/>
          <w:sz w:val="32"/>
          <w:szCs w:val="32"/>
          <w:highlight w:val="none"/>
        </w:rPr>
      </w:pPr>
      <w:r>
        <w:rPr>
          <w:rFonts w:hint="eastAsia" w:ascii="仿宋_GB2312" w:eastAsia="仿宋_GB2312"/>
          <w:kern w:val="0"/>
          <w:sz w:val="32"/>
          <w:szCs w:val="32"/>
          <w:highlight w:val="none"/>
        </w:rPr>
        <w:t>　　</w:t>
      </w:r>
      <w:r>
        <w:rPr>
          <w:rFonts w:hint="eastAsia" w:ascii="黑体" w:hAnsi="黑体" w:eastAsia="黑体"/>
          <w:kern w:val="0"/>
          <w:sz w:val="32"/>
          <w:szCs w:val="32"/>
          <w:highlight w:val="none"/>
        </w:rPr>
        <w:t>第三十</w:t>
      </w:r>
      <w:r>
        <w:rPr>
          <w:rFonts w:hint="eastAsia" w:ascii="黑体" w:hAnsi="黑体" w:eastAsia="黑体"/>
          <w:kern w:val="0"/>
          <w:sz w:val="32"/>
          <w:szCs w:val="32"/>
          <w:highlight w:val="none"/>
          <w:lang w:eastAsia="zh-CN"/>
        </w:rPr>
        <w:t>四</w:t>
      </w:r>
      <w:r>
        <w:rPr>
          <w:rFonts w:hint="eastAsia" w:ascii="黑体" w:hAnsi="黑体" w:eastAsia="黑体"/>
          <w:kern w:val="0"/>
          <w:sz w:val="32"/>
          <w:szCs w:val="32"/>
          <w:highlight w:val="none"/>
        </w:rPr>
        <w:t>条</w:t>
      </w:r>
      <w:r>
        <w:rPr>
          <w:rFonts w:hint="eastAsia" w:ascii="仿宋_GB2312" w:eastAsia="仿宋_GB2312"/>
          <w:kern w:val="0"/>
          <w:sz w:val="32"/>
          <w:szCs w:val="32"/>
          <w:highlight w:val="none"/>
          <w:lang w:val="en-US" w:eastAsia="zh-CN"/>
        </w:rPr>
        <w:t xml:space="preserve">  </w:t>
      </w:r>
      <w:r>
        <w:rPr>
          <w:rFonts w:hint="eastAsia" w:ascii="仿宋_GB2312" w:eastAsia="仿宋_GB2312"/>
          <w:kern w:val="0"/>
          <w:sz w:val="32"/>
          <w:szCs w:val="32"/>
          <w:highlight w:val="none"/>
        </w:rPr>
        <w:t>责任认定年度是指责任追究处理年度。相关责任人在责任认定年度无任职或任职不满全年的，按照最近一个完整任职年度执行；若无完整任职年度的，参照处理前实际任职月度（不超过12个月）执行。相关责任人已不在本企业领取绩效年薪的，按离职前一年度全部绩效年薪及前三年任期激励收入总和计算，参照上述标准追索扣回其薪酬。</w:t>
      </w:r>
    </w:p>
    <w:p>
      <w:pPr>
        <w:shd w:val="clear" w:color="auto" w:fill="FFFFFF"/>
        <w:spacing w:line="560" w:lineRule="exact"/>
        <w:ind w:firstLine="640"/>
        <w:rPr>
          <w:rFonts w:hint="eastAsia" w:ascii="仿宋_GB2312" w:eastAsia="仿宋_GB2312"/>
          <w:kern w:val="0"/>
          <w:sz w:val="32"/>
          <w:szCs w:val="32"/>
          <w:highlight w:val="none"/>
        </w:rPr>
      </w:pPr>
      <w:r>
        <w:rPr>
          <w:rFonts w:hint="eastAsia" w:ascii="黑体" w:hAnsi="黑体" w:eastAsia="黑体"/>
          <w:kern w:val="0"/>
          <w:sz w:val="32"/>
          <w:szCs w:val="32"/>
          <w:highlight w:val="none"/>
        </w:rPr>
        <w:t>第三十</w:t>
      </w:r>
      <w:r>
        <w:rPr>
          <w:rFonts w:hint="eastAsia" w:ascii="黑体" w:hAnsi="黑体" w:eastAsia="黑体"/>
          <w:kern w:val="0"/>
          <w:sz w:val="32"/>
          <w:szCs w:val="32"/>
          <w:highlight w:val="none"/>
          <w:lang w:eastAsia="zh-CN"/>
        </w:rPr>
        <w:t>五</w:t>
      </w:r>
      <w:r>
        <w:rPr>
          <w:rFonts w:hint="eastAsia" w:ascii="黑体" w:hAnsi="黑体" w:eastAsia="黑体"/>
          <w:kern w:val="0"/>
          <w:sz w:val="32"/>
          <w:szCs w:val="32"/>
          <w:highlight w:val="none"/>
        </w:rPr>
        <w:t>条</w:t>
      </w:r>
      <w:r>
        <w:rPr>
          <w:rFonts w:hint="eastAsia" w:ascii="仿宋_GB2312" w:eastAsia="仿宋_GB2312"/>
          <w:kern w:val="0"/>
          <w:sz w:val="32"/>
          <w:szCs w:val="32"/>
          <w:highlight w:val="none"/>
        </w:rPr>
        <w:t>　对同一事件、同一责任人的薪酬扣减和追索，按照党纪处分、政务处分、责任追究等扣减薪酬处理的最高标准执行，但不合并使用。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黑体" w:hAnsi="黑体" w:eastAsia="黑体" w:cs="黑体"/>
          <w:kern w:val="0"/>
          <w:sz w:val="32"/>
          <w:szCs w:val="32"/>
          <w:highlight w:val="none"/>
        </w:rPr>
        <w:t>第三十六条 </w:t>
      </w:r>
      <w:r>
        <w:rPr>
          <w:rFonts w:hint="eastAsia" w:ascii="仿宋_GB2312" w:eastAsia="仿宋_GB2312"/>
          <w:kern w:val="0"/>
          <w:sz w:val="32"/>
          <w:szCs w:val="32"/>
          <w:highlight w:val="none"/>
        </w:rPr>
        <w:t xml:space="preserve"> 相关责任人受到诫勉处理的，六个月内不得提拔、重用；受到停职检查、调整职务处理的，一年内不得提拔；受到责令辞职、免职处理的，一年内不安排职务，两年内不得担任高于原任职务层级的职务；受到降职处理的，两年内不得提拔；同时受到纪律处分的，按照影响期长的规定执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黑体" w:hAnsi="黑体" w:eastAsia="黑体" w:cs="黑体"/>
          <w:kern w:val="0"/>
          <w:sz w:val="32"/>
          <w:szCs w:val="32"/>
          <w:highlight w:val="none"/>
        </w:rPr>
        <w:t>第三十七条 </w:t>
      </w:r>
      <w:r>
        <w:rPr>
          <w:rFonts w:hint="eastAsia" w:ascii="仿宋_GB2312" w:eastAsia="仿宋_GB2312"/>
          <w:kern w:val="0"/>
          <w:sz w:val="32"/>
          <w:szCs w:val="32"/>
          <w:highlight w:val="none"/>
        </w:rPr>
        <w:t xml:space="preserve"> 企业经营管理有关人员违规经营投资未造成资产损失，但造成其他严重不良后果的，经过查证核实和责任认定后，对相关责任人参照本办法予以处理。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黑体" w:hAnsi="黑体" w:eastAsia="黑体" w:cs="黑体"/>
          <w:kern w:val="0"/>
          <w:sz w:val="32"/>
          <w:szCs w:val="32"/>
          <w:highlight w:val="none"/>
        </w:rPr>
        <w:t>第三十八条</w:t>
      </w:r>
      <w:r>
        <w:rPr>
          <w:rFonts w:hint="eastAsia" w:ascii="仿宋_GB2312" w:eastAsia="仿宋_GB2312"/>
          <w:kern w:val="0"/>
          <w:sz w:val="32"/>
          <w:szCs w:val="32"/>
          <w:highlight w:val="none"/>
        </w:rPr>
        <w:t xml:space="preserve">  有下列情形之一的，应当对相关责任人从重或加重处理：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（一）资产损失频繁发生、金额巨大、后果严重的。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（二）屡禁不止、顶风违规、影响恶劣的。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（三）强迫、唆使他人违规造成资产损失或其他严重不良后果的。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（四）未及时采取措施或措施不力导致资产损失或其他严重不良后果扩大的。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（五）瞒报、漏报或谎报资产损失的。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（六）拒不配合或干扰、抵制责任追究工作的。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（七）其他应当从重或加重处理的。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黑体" w:hAnsi="黑体" w:eastAsia="黑体" w:cs="黑体"/>
          <w:kern w:val="0"/>
          <w:sz w:val="32"/>
          <w:szCs w:val="32"/>
          <w:highlight w:val="none"/>
        </w:rPr>
        <w:t>第三十九条</w:t>
      </w:r>
      <w:r>
        <w:rPr>
          <w:rFonts w:hint="eastAsia" w:ascii="仿宋_GB2312" w:eastAsia="仿宋_GB2312"/>
          <w:kern w:val="0"/>
          <w:sz w:val="32"/>
          <w:szCs w:val="32"/>
          <w:highlight w:val="none"/>
        </w:rPr>
        <w:t xml:space="preserve">  对企业经营管理有关人员在企业改革发展中所出现的失误，不属于有令不行、有禁不止、不当谋利、主观故意、独断专行等的，根据有关规定和程序予以容错。有下列情形之一的，可以对违规经营投资相关责任人从轻或减轻处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（一）情节轻微的。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（二）以促进企业改革发展稳定或履行企业经济责任、政治责任、社会责任为目标，且个人没有谋取私利的。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（三）党和国家方针政策、党章党规党纪、国家法律法规、地方性法规和规章等没有明确限制或禁止的。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（四）处置突发事件或紧急情况下，个人或少数人决策，事后及时履行报告程序并得到追认，且不存在故意或重大过失的。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（五）及时采取有效措施减少、挽回资产损失并消除不良影响的。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（六）主动反映资产损失情况，积极配合责任追究工作的，或主动检举其他造成资产损失相关人员，查证属实的。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（七）其他可以从轻或减轻处理的。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对于违规经营投资有关责任人应当给予批评教育、责令检查、通报批评或诫勉处理，但是具有本条规定情形之一的，可以免除处理。对违规经营投资有关责任人减轻或免除处理，须由作出处理决定的上一级企业或</w:t>
      </w:r>
      <w:r>
        <w:rPr>
          <w:rFonts w:hint="eastAsia" w:ascii="仿宋_GB2312" w:eastAsia="仿宋_GB2312"/>
          <w:kern w:val="0"/>
          <w:sz w:val="32"/>
          <w:szCs w:val="32"/>
          <w:highlight w:val="none"/>
          <w:lang w:eastAsia="zh-CN"/>
        </w:rPr>
        <w:t>区</w:t>
      </w:r>
      <w:r>
        <w:rPr>
          <w:rFonts w:hint="eastAsia" w:ascii="仿宋_GB2312" w:eastAsia="仿宋_GB2312"/>
          <w:kern w:val="0"/>
          <w:sz w:val="32"/>
          <w:szCs w:val="32"/>
          <w:highlight w:val="none"/>
        </w:rPr>
        <w:t>国资委批准。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黑体" w:hAnsi="黑体" w:eastAsia="黑体" w:cs="黑体"/>
          <w:kern w:val="0"/>
          <w:sz w:val="32"/>
          <w:szCs w:val="32"/>
          <w:highlight w:val="none"/>
        </w:rPr>
        <w:t>第四十条</w:t>
      </w:r>
      <w:r>
        <w:rPr>
          <w:rFonts w:hint="eastAsia" w:ascii="仿宋_GB2312" w:eastAsia="仿宋_GB2312"/>
          <w:kern w:val="0"/>
          <w:sz w:val="32"/>
          <w:szCs w:val="32"/>
          <w:highlight w:val="none"/>
        </w:rPr>
        <w:t>  对违反规定，未履行或未正确履行职责造成国有资产损失或其他严重不良后果的企业董事及其他有关人员，除依法承担赔偿责任外，依照国家法律法规、有关规章制度和本办法等对其进行相应处理。</w:t>
      </w:r>
    </w:p>
    <w:p>
      <w:pPr>
        <w:shd w:val="clear" w:color="auto" w:fill="FFFFFF"/>
        <w:spacing w:line="560" w:lineRule="exact"/>
        <w:jc w:val="center"/>
        <w:rPr>
          <w:rFonts w:hint="eastAsia" w:ascii="黑体" w:hAnsi="黑体" w:eastAsia="黑体"/>
          <w:kern w:val="0"/>
          <w:sz w:val="32"/>
          <w:szCs w:val="32"/>
          <w:highlight w:val="none"/>
        </w:rPr>
      </w:pPr>
    </w:p>
    <w:p>
      <w:pPr>
        <w:shd w:val="clear" w:color="auto" w:fill="FFFFFF"/>
        <w:spacing w:line="560" w:lineRule="exact"/>
        <w:jc w:val="center"/>
        <w:rPr>
          <w:rFonts w:hint="eastAsia" w:eastAsia="黑体"/>
          <w:kern w:val="0"/>
          <w:sz w:val="32"/>
          <w:szCs w:val="32"/>
          <w:highlight w:val="none"/>
          <w:lang w:eastAsia="zh-CN"/>
        </w:rPr>
      </w:pPr>
      <w:r>
        <w:rPr>
          <w:rFonts w:hint="eastAsia" w:ascii="黑体" w:hAnsi="黑体" w:eastAsia="黑体"/>
          <w:kern w:val="0"/>
          <w:sz w:val="32"/>
          <w:szCs w:val="32"/>
          <w:highlight w:val="none"/>
        </w:rPr>
        <w:t>第六章</w:t>
      </w:r>
      <w:r>
        <w:rPr>
          <w:rFonts w:hint="eastAsia" w:ascii="宋体" w:hAnsi="宋体" w:cs="宋体"/>
          <w:kern w:val="0"/>
          <w:sz w:val="32"/>
          <w:szCs w:val="32"/>
          <w:highlight w:val="none"/>
        </w:rPr>
        <w:t> </w:t>
      </w:r>
      <w:r>
        <w:rPr>
          <w:rFonts w:hint="eastAsia" w:ascii="宋体" w:hAnsi="宋体" w:cs="宋体"/>
          <w:kern w:val="0"/>
          <w:sz w:val="32"/>
          <w:highlight w:val="none"/>
        </w:rPr>
        <w:t> </w:t>
      </w:r>
      <w:r>
        <w:rPr>
          <w:rFonts w:hint="eastAsia" w:ascii="黑体" w:hAnsi="黑体" w:eastAsia="黑体"/>
          <w:kern w:val="0"/>
          <w:sz w:val="32"/>
          <w:szCs w:val="32"/>
          <w:highlight w:val="none"/>
        </w:rPr>
        <w:t>责任追究工作</w:t>
      </w:r>
      <w:r>
        <w:rPr>
          <w:rFonts w:hint="eastAsia" w:ascii="黑体" w:hAnsi="黑体" w:eastAsia="黑体"/>
          <w:kern w:val="0"/>
          <w:sz w:val="32"/>
          <w:szCs w:val="32"/>
          <w:highlight w:val="none"/>
          <w:lang w:eastAsia="zh-CN"/>
        </w:rPr>
        <w:t>职责</w:t>
      </w:r>
    </w:p>
    <w:p>
      <w:pPr>
        <w:shd w:val="clear" w:color="auto" w:fill="FFFFFF"/>
        <w:spacing w:line="560" w:lineRule="exact"/>
        <w:rPr>
          <w:kern w:val="0"/>
          <w:sz w:val="32"/>
          <w:szCs w:val="32"/>
          <w:highlight w:val="none"/>
        </w:rPr>
      </w:pPr>
      <w:r>
        <w:rPr>
          <w:kern w:val="0"/>
          <w:sz w:val="32"/>
          <w:szCs w:val="32"/>
          <w:highlight w:val="none"/>
        </w:rPr>
        <w:t> </w:t>
      </w:r>
    </w:p>
    <w:p>
      <w:pPr>
        <w:shd w:val="clear" w:color="auto" w:fill="FFFFFF"/>
        <w:spacing w:line="560" w:lineRule="exact"/>
        <w:ind w:firstLine="665"/>
        <w:rPr>
          <w:rFonts w:hint="eastAsia" w:ascii="仿宋_GB2312" w:eastAsia="仿宋_GB2312"/>
          <w:strike w:val="0"/>
          <w:dstrike w:val="0"/>
          <w:kern w:val="0"/>
          <w:sz w:val="32"/>
          <w:szCs w:val="32"/>
          <w:highlight w:val="none"/>
          <w:u w:val="single"/>
        </w:rPr>
      </w:pPr>
      <w:r>
        <w:rPr>
          <w:rFonts w:hint="eastAsia" w:ascii="黑体" w:hAnsi="黑体" w:eastAsia="黑体"/>
          <w:kern w:val="0"/>
          <w:sz w:val="32"/>
          <w:szCs w:val="32"/>
          <w:highlight w:val="none"/>
        </w:rPr>
        <w:t>第</w:t>
      </w:r>
      <w:r>
        <w:rPr>
          <w:rFonts w:hint="eastAsia" w:ascii="黑体" w:hAnsi="黑体" w:eastAsia="黑体"/>
          <w:kern w:val="0"/>
          <w:sz w:val="32"/>
          <w:szCs w:val="32"/>
          <w:highlight w:val="none"/>
          <w:lang w:eastAsia="zh-CN"/>
        </w:rPr>
        <w:t>四十一</w:t>
      </w:r>
      <w:r>
        <w:rPr>
          <w:rFonts w:hint="eastAsia" w:ascii="黑体" w:hAnsi="黑体" w:eastAsia="黑体"/>
          <w:kern w:val="0"/>
          <w:sz w:val="32"/>
          <w:szCs w:val="32"/>
          <w:highlight w:val="none"/>
        </w:rPr>
        <w:t>条</w:t>
      </w:r>
      <w:r>
        <w:rPr>
          <w:rFonts w:hint="eastAsia" w:ascii="仿宋_GB2312" w:eastAsia="仿宋_GB2312"/>
          <w:kern w:val="0"/>
          <w:sz w:val="32"/>
          <w:szCs w:val="32"/>
          <w:highlight w:val="none"/>
          <w:lang w:val="en-US" w:eastAsia="zh-CN"/>
        </w:rPr>
        <w:t xml:space="preserve">  </w:t>
      </w:r>
      <w:r>
        <w:rPr>
          <w:rFonts w:hint="eastAsia" w:ascii="仿宋_GB2312" w:eastAsia="仿宋_GB2312"/>
          <w:kern w:val="0"/>
          <w:sz w:val="32"/>
          <w:szCs w:val="32"/>
          <w:highlight w:val="none"/>
          <w:lang w:eastAsia="zh-CN"/>
        </w:rPr>
        <w:t>区国</w:t>
      </w:r>
      <w:r>
        <w:rPr>
          <w:rFonts w:hint="eastAsia" w:ascii="仿宋_GB2312" w:eastAsia="仿宋_GB2312"/>
          <w:strike w:val="0"/>
          <w:dstrike w:val="0"/>
          <w:kern w:val="0"/>
          <w:sz w:val="32"/>
          <w:szCs w:val="32"/>
          <w:highlight w:val="none"/>
        </w:rPr>
        <w:t>资委和企业原则上按照国有资本出资关系和干部管理权限，组织开展责任追究工作。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trike w:val="0"/>
          <w:dstrike w:val="0"/>
          <w:kern w:val="0"/>
          <w:sz w:val="32"/>
          <w:szCs w:val="32"/>
          <w:highlight w:val="none"/>
          <w:u w:val="single"/>
          <w:lang w:eastAsia="zh-CN"/>
        </w:rPr>
      </w:pPr>
      <w:r>
        <w:rPr>
          <w:rFonts w:hint="eastAsia" w:ascii="黑体" w:hAnsi="黑体" w:eastAsia="黑体"/>
          <w:kern w:val="0"/>
          <w:sz w:val="32"/>
          <w:szCs w:val="32"/>
          <w:highlight w:val="none"/>
        </w:rPr>
        <w:t>第</w:t>
      </w:r>
      <w:r>
        <w:rPr>
          <w:rFonts w:hint="eastAsia" w:ascii="黑体" w:hAnsi="黑体" w:eastAsia="黑体"/>
          <w:kern w:val="0"/>
          <w:sz w:val="32"/>
          <w:szCs w:val="32"/>
          <w:highlight w:val="none"/>
          <w:lang w:eastAsia="zh-CN"/>
        </w:rPr>
        <w:t>四十二</w:t>
      </w:r>
      <w:r>
        <w:rPr>
          <w:rFonts w:hint="eastAsia" w:ascii="黑体" w:hAnsi="黑体" w:eastAsia="黑体"/>
          <w:kern w:val="0"/>
          <w:sz w:val="32"/>
          <w:szCs w:val="32"/>
          <w:highlight w:val="none"/>
        </w:rPr>
        <w:t>条</w:t>
      </w:r>
      <w:r>
        <w:rPr>
          <w:rFonts w:hint="eastAsia" w:ascii="仿宋_GB2312" w:eastAsia="仿宋_GB2312"/>
          <w:kern w:val="0"/>
          <w:sz w:val="32"/>
          <w:szCs w:val="32"/>
          <w:highlight w:val="none"/>
          <w:lang w:val="en-US" w:eastAsia="zh-CN"/>
        </w:rPr>
        <w:t xml:space="preserve">  </w:t>
      </w:r>
      <w:r>
        <w:rPr>
          <w:rFonts w:hint="eastAsia" w:ascii="仿宋_GB2312" w:eastAsia="仿宋_GB2312"/>
          <w:kern w:val="0"/>
          <w:sz w:val="32"/>
          <w:szCs w:val="32"/>
          <w:highlight w:val="none"/>
          <w:lang w:eastAsia="zh-CN"/>
        </w:rPr>
        <w:t>区</w:t>
      </w:r>
      <w:r>
        <w:rPr>
          <w:rFonts w:hint="eastAsia" w:ascii="仿宋_GB2312" w:eastAsia="仿宋_GB2312"/>
          <w:kern w:val="0"/>
          <w:sz w:val="32"/>
          <w:szCs w:val="32"/>
          <w:highlight w:val="none"/>
        </w:rPr>
        <w:t>国资委在责任追究工作中的主要职责：</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trike w:val="0"/>
          <w:dstrike w:val="0"/>
          <w:kern w:val="0"/>
          <w:sz w:val="32"/>
          <w:szCs w:val="32"/>
          <w:highlight w:val="none"/>
          <w:u w:val="none"/>
          <w:lang w:eastAsia="zh-CN"/>
        </w:rPr>
      </w:pPr>
      <w:r>
        <w:rPr>
          <w:rFonts w:hint="eastAsia" w:ascii="仿宋_GB2312" w:eastAsia="仿宋_GB2312"/>
          <w:strike w:val="0"/>
          <w:dstrike w:val="0"/>
          <w:kern w:val="0"/>
          <w:sz w:val="32"/>
          <w:szCs w:val="32"/>
          <w:highlight w:val="none"/>
          <w:u w:val="none"/>
          <w:lang w:eastAsia="zh-CN"/>
        </w:rPr>
        <w:t>（一）研究制定国资监管企业责任追究有关制度。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trike w:val="0"/>
          <w:dstrike w:val="0"/>
          <w:kern w:val="0"/>
          <w:sz w:val="32"/>
          <w:szCs w:val="32"/>
          <w:highlight w:val="none"/>
          <w:u w:val="none"/>
          <w:lang w:eastAsia="zh-CN"/>
        </w:rPr>
      </w:pPr>
      <w:r>
        <w:rPr>
          <w:rFonts w:hint="eastAsia" w:ascii="仿宋_GB2312" w:eastAsia="仿宋_GB2312"/>
          <w:strike w:val="0"/>
          <w:dstrike w:val="0"/>
          <w:kern w:val="0"/>
          <w:sz w:val="32"/>
          <w:szCs w:val="32"/>
          <w:highlight w:val="none"/>
          <w:u w:val="none"/>
          <w:lang w:eastAsia="zh-CN"/>
        </w:rPr>
        <w:t>（二）组织开展多次发生重大资产损失或造成其他严重不良影响、资产损失金额特别巨大且危及监管企业生存发展的，以及涉及区国资委提名、推荐、任命、批准的监管企业负责人的责任追究工作。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trike w:val="0"/>
          <w:dstrike w:val="0"/>
          <w:kern w:val="0"/>
          <w:sz w:val="32"/>
          <w:szCs w:val="32"/>
          <w:highlight w:val="none"/>
          <w:u w:val="none"/>
          <w:lang w:eastAsia="zh-CN"/>
        </w:rPr>
      </w:pPr>
      <w:r>
        <w:rPr>
          <w:rFonts w:hint="eastAsia" w:ascii="仿宋_GB2312" w:eastAsia="仿宋_GB2312"/>
          <w:strike w:val="0"/>
          <w:dstrike w:val="0"/>
          <w:kern w:val="0"/>
          <w:sz w:val="32"/>
          <w:szCs w:val="32"/>
          <w:highlight w:val="none"/>
          <w:u w:val="none"/>
          <w:lang w:eastAsia="zh-CN"/>
        </w:rPr>
        <w:t>（三）认为有必要直接组织开展的企业责任追究工作。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trike w:val="0"/>
          <w:dstrike w:val="0"/>
          <w:kern w:val="0"/>
          <w:sz w:val="32"/>
          <w:szCs w:val="32"/>
          <w:highlight w:val="none"/>
          <w:u w:val="none"/>
          <w:lang w:eastAsia="zh-CN"/>
        </w:rPr>
      </w:pPr>
      <w:r>
        <w:rPr>
          <w:rFonts w:hint="eastAsia" w:ascii="仿宋_GB2312" w:eastAsia="仿宋_GB2312"/>
          <w:strike w:val="0"/>
          <w:dstrike w:val="0"/>
          <w:kern w:val="0"/>
          <w:sz w:val="32"/>
          <w:szCs w:val="32"/>
          <w:highlight w:val="none"/>
          <w:u w:val="none"/>
          <w:lang w:eastAsia="zh-CN"/>
        </w:rPr>
        <w:t>（四）对企业存在的共性问题进行专项核查。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trike w:val="0"/>
          <w:dstrike w:val="0"/>
          <w:kern w:val="0"/>
          <w:sz w:val="32"/>
          <w:szCs w:val="32"/>
          <w:highlight w:val="none"/>
          <w:u w:val="none"/>
          <w:lang w:eastAsia="zh-CN"/>
        </w:rPr>
      </w:pPr>
      <w:r>
        <w:rPr>
          <w:rFonts w:hint="eastAsia" w:ascii="仿宋_GB2312" w:eastAsia="仿宋_GB2312"/>
          <w:strike w:val="0"/>
          <w:dstrike w:val="0"/>
          <w:kern w:val="0"/>
          <w:sz w:val="32"/>
          <w:szCs w:val="32"/>
          <w:highlight w:val="none"/>
          <w:u w:val="none"/>
          <w:lang w:eastAsia="zh-CN"/>
        </w:rPr>
        <w:t>（五）对需要监管企业整改的问题，督促监管企业落实有关整改工作要求。</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trike w:val="0"/>
          <w:dstrike w:val="0"/>
          <w:kern w:val="0"/>
          <w:sz w:val="32"/>
          <w:szCs w:val="32"/>
          <w:highlight w:val="none"/>
          <w:u w:val="none"/>
          <w:lang w:eastAsia="zh-CN"/>
        </w:rPr>
      </w:pPr>
      <w:r>
        <w:rPr>
          <w:rFonts w:hint="eastAsia" w:ascii="仿宋_GB2312" w:eastAsia="仿宋_GB2312"/>
          <w:strike w:val="0"/>
          <w:dstrike w:val="0"/>
          <w:kern w:val="0"/>
          <w:sz w:val="32"/>
          <w:szCs w:val="32"/>
          <w:highlight w:val="none"/>
          <w:u w:val="none"/>
          <w:lang w:eastAsia="zh-CN"/>
        </w:rPr>
        <w:t>（六）指导、监督和检查监管企业责任追究相关工作。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trike w:val="0"/>
          <w:dstrike w:val="0"/>
          <w:kern w:val="0"/>
          <w:sz w:val="32"/>
          <w:szCs w:val="32"/>
          <w:highlight w:val="none"/>
          <w:u w:val="none"/>
          <w:lang w:eastAsia="zh-CN"/>
        </w:rPr>
      </w:pPr>
      <w:r>
        <w:rPr>
          <w:rFonts w:hint="eastAsia" w:ascii="仿宋_GB2312" w:eastAsia="仿宋_GB2312"/>
          <w:strike w:val="0"/>
          <w:dstrike w:val="0"/>
          <w:kern w:val="0"/>
          <w:sz w:val="32"/>
          <w:szCs w:val="32"/>
          <w:highlight w:val="none"/>
          <w:u w:val="none"/>
          <w:lang w:eastAsia="zh-CN"/>
        </w:rPr>
        <w:t>（七）其他有关责任追究工作。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kern w:val="0"/>
          <w:sz w:val="32"/>
          <w:szCs w:val="32"/>
          <w:highlight w:val="none"/>
        </w:rPr>
      </w:pPr>
      <w:r>
        <w:rPr>
          <w:rFonts w:hint="eastAsia" w:ascii="黑体" w:hAnsi="黑体" w:eastAsia="黑体"/>
          <w:kern w:val="0"/>
          <w:sz w:val="32"/>
          <w:szCs w:val="32"/>
          <w:highlight w:val="none"/>
        </w:rPr>
        <w:t>第</w:t>
      </w:r>
      <w:r>
        <w:rPr>
          <w:rFonts w:hint="eastAsia" w:ascii="黑体" w:hAnsi="黑体" w:eastAsia="黑体"/>
          <w:kern w:val="0"/>
          <w:sz w:val="32"/>
          <w:szCs w:val="32"/>
          <w:highlight w:val="none"/>
          <w:lang w:eastAsia="zh-CN"/>
        </w:rPr>
        <w:t>四十三</w:t>
      </w:r>
      <w:r>
        <w:rPr>
          <w:rFonts w:hint="eastAsia" w:ascii="黑体" w:hAnsi="黑体" w:eastAsia="黑体"/>
          <w:kern w:val="0"/>
          <w:sz w:val="32"/>
          <w:szCs w:val="32"/>
          <w:highlight w:val="none"/>
        </w:rPr>
        <w:t>条</w:t>
      </w:r>
      <w:r>
        <w:rPr>
          <w:rFonts w:hint="eastAsia" w:ascii="仿宋_GB2312" w:eastAsia="仿宋_GB2312"/>
          <w:kern w:val="0"/>
          <w:sz w:val="32"/>
          <w:szCs w:val="32"/>
          <w:highlight w:val="none"/>
          <w:lang w:val="en-US" w:eastAsia="zh-CN"/>
        </w:rPr>
        <w:t xml:space="preserve">  </w:t>
      </w:r>
      <w:r>
        <w:rPr>
          <w:rFonts w:hint="eastAsia" w:ascii="仿宋_GB2312" w:eastAsia="仿宋_GB2312"/>
          <w:kern w:val="0"/>
          <w:sz w:val="32"/>
          <w:szCs w:val="32"/>
          <w:highlight w:val="none"/>
          <w:lang w:eastAsia="zh-CN"/>
        </w:rPr>
        <w:t>区</w:t>
      </w:r>
      <w:r>
        <w:rPr>
          <w:rFonts w:hint="eastAsia" w:ascii="仿宋_GB2312" w:eastAsia="仿宋_GB2312"/>
          <w:kern w:val="0"/>
          <w:sz w:val="32"/>
          <w:szCs w:val="32"/>
          <w:highlight w:val="none"/>
        </w:rPr>
        <w:t>国资委</w:t>
      </w:r>
      <w:r>
        <w:rPr>
          <w:rFonts w:hint="eastAsia" w:ascii="仿宋_GB2312" w:eastAsia="仿宋_GB2312"/>
          <w:kern w:val="0"/>
          <w:sz w:val="32"/>
          <w:szCs w:val="32"/>
          <w:highlight w:val="none"/>
          <w:lang w:eastAsia="zh-CN"/>
        </w:rPr>
        <w:t>业务科</w:t>
      </w:r>
      <w:r>
        <w:rPr>
          <w:rFonts w:hint="eastAsia" w:ascii="仿宋_GB2312" w:eastAsia="仿宋_GB2312"/>
          <w:kern w:val="0"/>
          <w:sz w:val="32"/>
          <w:szCs w:val="32"/>
          <w:highlight w:val="none"/>
        </w:rPr>
        <w:t>作为专门责任追究机构，受理委内及有关方面按规定程序移交的违规经营投资有关问题和线索，初步核实后进行分类处置，并采取督办、联合核查、专项核查等方式组织开展有关核查工作，认定相关人员责任，研究提出处理的意见建议，督促监管企业整改落实。</w:t>
      </w:r>
    </w:p>
    <w:p>
      <w:pPr>
        <w:shd w:val="clear" w:color="auto" w:fill="FFFFFF"/>
        <w:spacing w:line="560" w:lineRule="exact"/>
        <w:rPr>
          <w:rFonts w:hint="eastAsia" w:ascii="仿宋_GB2312" w:eastAsia="仿宋_GB2312"/>
          <w:kern w:val="0"/>
          <w:sz w:val="32"/>
          <w:szCs w:val="32"/>
          <w:highlight w:val="none"/>
        </w:rPr>
      </w:pPr>
      <w:r>
        <w:rPr>
          <w:rFonts w:hint="eastAsia" w:ascii="仿宋_GB2312" w:eastAsia="仿宋_GB2312"/>
          <w:kern w:val="0"/>
          <w:sz w:val="32"/>
          <w:szCs w:val="32"/>
          <w:highlight w:val="none"/>
        </w:rPr>
        <w:t>　　</w:t>
      </w:r>
      <w:r>
        <w:rPr>
          <w:rFonts w:hint="eastAsia" w:ascii="黑体" w:hAnsi="黑体" w:eastAsia="黑体"/>
          <w:kern w:val="0"/>
          <w:sz w:val="32"/>
          <w:szCs w:val="32"/>
          <w:highlight w:val="none"/>
        </w:rPr>
        <w:t>第</w:t>
      </w:r>
      <w:r>
        <w:rPr>
          <w:rFonts w:hint="eastAsia" w:ascii="黑体" w:hAnsi="黑体" w:eastAsia="黑体"/>
          <w:kern w:val="0"/>
          <w:sz w:val="32"/>
          <w:szCs w:val="32"/>
          <w:highlight w:val="none"/>
          <w:lang w:eastAsia="zh-CN"/>
        </w:rPr>
        <w:t>四十四</w:t>
      </w:r>
      <w:r>
        <w:rPr>
          <w:rFonts w:hint="eastAsia" w:ascii="黑体" w:hAnsi="黑体" w:eastAsia="黑体"/>
          <w:kern w:val="0"/>
          <w:sz w:val="32"/>
          <w:szCs w:val="32"/>
          <w:highlight w:val="none"/>
        </w:rPr>
        <w:t>条</w:t>
      </w:r>
      <w:r>
        <w:rPr>
          <w:rFonts w:hint="eastAsia" w:ascii="仿宋_GB2312" w:eastAsia="仿宋_GB2312"/>
          <w:kern w:val="0"/>
          <w:sz w:val="32"/>
          <w:szCs w:val="32"/>
          <w:highlight w:val="none"/>
          <w:lang w:val="en-US" w:eastAsia="zh-CN"/>
        </w:rPr>
        <w:t xml:space="preserve">  </w:t>
      </w:r>
      <w:r>
        <w:rPr>
          <w:rFonts w:hint="eastAsia" w:ascii="仿宋_GB2312" w:eastAsia="仿宋_GB2312"/>
          <w:kern w:val="0"/>
          <w:sz w:val="32"/>
          <w:szCs w:val="32"/>
          <w:highlight w:val="none"/>
        </w:rPr>
        <w:t>监管企业在责任追究工作中的主要职责：</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（一）研究制定本企业责任追究有关制度。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（二）组织开展本级企业发生的一般、较大和重大资产损失，二级子企业发生的重大资产损失、产生严重不良后果的较大资产损失，以及涉及二级子企业负责人的责任追究工作。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（三）认为有必要直接组织开展的所属子企业责任追究工作。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（四）指导、监督和检查所属子企业责任追究相关工作。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（五）按照</w:t>
      </w:r>
      <w:r>
        <w:rPr>
          <w:rFonts w:hint="eastAsia" w:ascii="仿宋_GB2312" w:eastAsia="仿宋_GB2312"/>
          <w:kern w:val="0"/>
          <w:sz w:val="32"/>
          <w:szCs w:val="32"/>
          <w:highlight w:val="none"/>
          <w:lang w:eastAsia="zh-CN"/>
        </w:rPr>
        <w:t>区</w:t>
      </w:r>
      <w:r>
        <w:rPr>
          <w:rFonts w:hint="eastAsia" w:ascii="仿宋_GB2312" w:eastAsia="仿宋_GB2312"/>
          <w:kern w:val="0"/>
          <w:sz w:val="32"/>
          <w:szCs w:val="32"/>
          <w:highlight w:val="none"/>
        </w:rPr>
        <w:t>国资委要求组织开展有关责任追究工作。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kern w:val="0"/>
          <w:sz w:val="32"/>
          <w:szCs w:val="32"/>
          <w:highlight w:val="none"/>
        </w:rPr>
      </w:pPr>
      <w:r>
        <w:rPr>
          <w:rFonts w:hint="eastAsia" w:ascii="仿宋_GB2312" w:eastAsia="仿宋_GB2312"/>
          <w:kern w:val="0"/>
          <w:sz w:val="32"/>
          <w:szCs w:val="32"/>
          <w:highlight w:val="none"/>
        </w:rPr>
        <w:t>（六）其他有关责任追究工作。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黑体" w:hAnsi="黑体" w:eastAsia="黑体" w:cs="黑体"/>
          <w:kern w:val="0"/>
          <w:sz w:val="32"/>
          <w:szCs w:val="32"/>
          <w:highlight w:val="none"/>
        </w:rPr>
        <w:t>第</w:t>
      </w:r>
      <w:r>
        <w:rPr>
          <w:rFonts w:hint="eastAsia" w:ascii="黑体" w:hAnsi="黑体" w:eastAsia="黑体" w:cs="黑体"/>
          <w:kern w:val="0"/>
          <w:sz w:val="32"/>
          <w:szCs w:val="32"/>
          <w:highlight w:val="none"/>
          <w:lang w:eastAsia="zh-CN"/>
        </w:rPr>
        <w:t>四十五</w:t>
      </w:r>
      <w:r>
        <w:rPr>
          <w:rFonts w:hint="eastAsia" w:ascii="黑体" w:hAnsi="黑体" w:eastAsia="黑体" w:cs="黑体"/>
          <w:kern w:val="0"/>
          <w:sz w:val="32"/>
          <w:szCs w:val="32"/>
          <w:highlight w:val="none"/>
        </w:rPr>
        <w:t>条</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监管企业应当明确相应的职能部门或机构，负责组织开展责任追究工作，并做好与企业纪检监察机构的协同配合。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黑体" w:hAnsi="黑体" w:eastAsia="黑体" w:cs="黑体"/>
          <w:kern w:val="0"/>
          <w:sz w:val="32"/>
          <w:szCs w:val="32"/>
          <w:highlight w:val="none"/>
        </w:rPr>
        <w:t> 第四十六条</w:t>
      </w:r>
      <w:r>
        <w:rPr>
          <w:rFonts w:hint="eastAsia" w:ascii="黑体" w:hAnsi="黑体" w:eastAsia="黑体" w:cs="黑体"/>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监管企业应当建立健全责任追究工作报告制度，对较大和重大违规经营投资的问题和线索，及时向</w:t>
      </w:r>
      <w:r>
        <w:rPr>
          <w:rFonts w:hint="eastAsia" w:ascii="仿宋_GB2312" w:hAnsi="仿宋_GB2312" w:eastAsia="仿宋_GB2312" w:cs="仿宋_GB2312"/>
          <w:kern w:val="0"/>
          <w:sz w:val="32"/>
          <w:szCs w:val="32"/>
          <w:highlight w:val="none"/>
          <w:lang w:eastAsia="zh-CN"/>
        </w:rPr>
        <w:t>区</w:t>
      </w:r>
      <w:r>
        <w:rPr>
          <w:rFonts w:hint="eastAsia" w:ascii="仿宋_GB2312" w:hAnsi="仿宋_GB2312" w:eastAsia="仿宋_GB2312" w:cs="仿宋_GB2312"/>
          <w:kern w:val="0"/>
          <w:sz w:val="32"/>
          <w:szCs w:val="32"/>
          <w:highlight w:val="none"/>
        </w:rPr>
        <w:t>国资委书面报告，建立问题线索移交办理工作台账，并按照有关工作要求定期报送责任追究工作开展情况。</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黑体" w:hAnsi="黑体" w:eastAsia="黑体" w:cs="黑体"/>
          <w:kern w:val="0"/>
          <w:sz w:val="32"/>
          <w:szCs w:val="32"/>
          <w:highlight w:val="none"/>
        </w:rPr>
        <w:t>第四十七条</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监管企业未按规定和有关工作职责要求组织开展责任追究工作的，</w:t>
      </w:r>
      <w:r>
        <w:rPr>
          <w:rFonts w:hint="eastAsia" w:ascii="仿宋_GB2312" w:hAnsi="仿宋_GB2312" w:eastAsia="仿宋_GB2312" w:cs="仿宋_GB2312"/>
          <w:kern w:val="0"/>
          <w:sz w:val="32"/>
          <w:szCs w:val="32"/>
          <w:highlight w:val="none"/>
          <w:lang w:eastAsia="zh-CN"/>
        </w:rPr>
        <w:t>区</w:t>
      </w:r>
      <w:r>
        <w:rPr>
          <w:rFonts w:hint="eastAsia" w:ascii="仿宋_GB2312" w:hAnsi="仿宋_GB2312" w:eastAsia="仿宋_GB2312" w:cs="仿宋_GB2312"/>
          <w:kern w:val="0"/>
          <w:sz w:val="32"/>
          <w:szCs w:val="32"/>
          <w:highlight w:val="none"/>
        </w:rPr>
        <w:t>国资委依据相关规定，对有关监管企业负责人进行责任追究。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黑体" w:hAnsi="黑体" w:eastAsia="黑体" w:cs="黑体"/>
          <w:kern w:val="0"/>
          <w:sz w:val="32"/>
          <w:szCs w:val="32"/>
          <w:highlight w:val="none"/>
        </w:rPr>
        <w:t>第四十八条</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eastAsia="zh-CN"/>
        </w:rPr>
        <w:t>区</w:t>
      </w:r>
      <w:r>
        <w:rPr>
          <w:rFonts w:hint="eastAsia" w:ascii="仿宋_GB2312" w:hAnsi="仿宋_GB2312" w:eastAsia="仿宋_GB2312" w:cs="仿宋_GB2312"/>
          <w:kern w:val="0"/>
          <w:sz w:val="32"/>
          <w:szCs w:val="32"/>
          <w:highlight w:val="none"/>
        </w:rPr>
        <w:t>国资委和监管企业有关人员，对企业违规经营投资等重大违规违纪违法问题，存在应当发现而未发现或发现后敷衍不追、隐匿不报、查处不力等失职渎职行为的，严格依纪依规追究纪律责任；涉嫌犯罪的，移送监察机关或司法机关查处。</w:t>
      </w:r>
    </w:p>
    <w:p>
      <w:pPr>
        <w:shd w:val="clear" w:color="auto" w:fill="FFFFFF"/>
        <w:spacing w:line="560" w:lineRule="exact"/>
        <w:jc w:val="center"/>
        <w:rPr>
          <w:rFonts w:hint="eastAsia" w:ascii="黑体" w:hAnsi="黑体" w:eastAsia="黑体"/>
          <w:kern w:val="0"/>
          <w:sz w:val="32"/>
          <w:szCs w:val="32"/>
          <w:highlight w:val="none"/>
        </w:rPr>
      </w:pPr>
    </w:p>
    <w:p>
      <w:pPr>
        <w:shd w:val="clear" w:color="auto" w:fill="FFFFFF"/>
        <w:spacing w:line="560" w:lineRule="exact"/>
        <w:jc w:val="center"/>
        <w:rPr>
          <w:rFonts w:hint="eastAsia" w:eastAsia="宋体"/>
          <w:kern w:val="0"/>
          <w:sz w:val="32"/>
          <w:szCs w:val="32"/>
          <w:highlight w:val="none"/>
          <w:lang w:eastAsia="zh-CN"/>
        </w:rPr>
      </w:pPr>
      <w:r>
        <w:rPr>
          <w:rFonts w:hint="eastAsia" w:ascii="黑体" w:hAnsi="黑体" w:eastAsia="黑体"/>
          <w:kern w:val="0"/>
          <w:sz w:val="32"/>
          <w:szCs w:val="32"/>
          <w:highlight w:val="none"/>
        </w:rPr>
        <w:t>第七章</w:t>
      </w:r>
      <w:r>
        <w:rPr>
          <w:rFonts w:hint="eastAsia" w:ascii="宋体" w:hAnsi="宋体" w:cs="宋体"/>
          <w:kern w:val="0"/>
          <w:sz w:val="32"/>
          <w:szCs w:val="32"/>
          <w:highlight w:val="none"/>
        </w:rPr>
        <w:t> </w:t>
      </w:r>
      <w:r>
        <w:rPr>
          <w:rFonts w:hint="eastAsia" w:ascii="黑体" w:hAnsi="黑体" w:eastAsia="黑体"/>
          <w:kern w:val="0"/>
          <w:sz w:val="32"/>
          <w:szCs w:val="32"/>
          <w:highlight w:val="none"/>
          <w:lang w:eastAsia="zh-CN"/>
        </w:rPr>
        <w:t>责任追究工作程序</w:t>
      </w:r>
    </w:p>
    <w:p>
      <w:pPr>
        <w:shd w:val="clear" w:color="auto" w:fill="FFFFFF"/>
        <w:spacing w:line="560" w:lineRule="exact"/>
        <w:rPr>
          <w:kern w:val="0"/>
          <w:sz w:val="32"/>
          <w:szCs w:val="32"/>
          <w:highlight w:val="none"/>
        </w:rPr>
      </w:pPr>
      <w:r>
        <w:rPr>
          <w:kern w:val="0"/>
          <w:sz w:val="32"/>
          <w:szCs w:val="32"/>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strike/>
          <w:dstrike w:val="0"/>
          <w:kern w:val="0"/>
          <w:sz w:val="32"/>
          <w:szCs w:val="32"/>
          <w:highlight w:val="none"/>
          <w:u w:val="none"/>
        </w:rPr>
      </w:pPr>
      <w:r>
        <w:rPr>
          <w:rFonts w:hint="eastAsia" w:ascii="黑体" w:hAnsi="黑体" w:eastAsia="黑体"/>
          <w:kern w:val="0"/>
          <w:sz w:val="32"/>
          <w:szCs w:val="32"/>
          <w:highlight w:val="none"/>
        </w:rPr>
        <w:t>第</w:t>
      </w:r>
      <w:r>
        <w:rPr>
          <w:rFonts w:hint="eastAsia" w:ascii="黑体" w:hAnsi="黑体" w:eastAsia="黑体"/>
          <w:kern w:val="0"/>
          <w:sz w:val="32"/>
          <w:szCs w:val="32"/>
          <w:highlight w:val="none"/>
          <w:lang w:eastAsia="zh-CN"/>
        </w:rPr>
        <w:t>四十九</w:t>
      </w:r>
      <w:r>
        <w:rPr>
          <w:rFonts w:hint="eastAsia" w:ascii="黑体" w:hAnsi="黑体" w:eastAsia="黑体"/>
          <w:kern w:val="0"/>
          <w:sz w:val="32"/>
          <w:szCs w:val="32"/>
          <w:highlight w:val="none"/>
        </w:rPr>
        <w:t>条</w:t>
      </w:r>
      <w:r>
        <w:rPr>
          <w:rFonts w:hint="eastAsia" w:ascii="仿宋_GB2312" w:eastAsia="仿宋_GB2312"/>
          <w:kern w:val="0"/>
          <w:sz w:val="32"/>
          <w:szCs w:val="32"/>
          <w:highlight w:val="none"/>
          <w:lang w:val="en-US" w:eastAsia="zh-CN"/>
        </w:rPr>
        <w:t xml:space="preserve">  </w:t>
      </w:r>
      <w:r>
        <w:rPr>
          <w:rFonts w:hint="eastAsia" w:ascii="仿宋_GB2312" w:eastAsia="仿宋_GB2312"/>
          <w:kern w:val="0"/>
          <w:sz w:val="32"/>
          <w:szCs w:val="32"/>
          <w:highlight w:val="none"/>
          <w:lang w:eastAsia="zh-CN"/>
        </w:rPr>
        <w:t>开展企业责任追究工作一般遵循受理、初步核实、分类处置、核查、处理和整改等程序</w:t>
      </w:r>
      <w:r>
        <w:rPr>
          <w:rFonts w:hint="eastAsia" w:ascii="仿宋_GB2312" w:eastAsia="仿宋_GB2312"/>
          <w:kern w:val="0"/>
          <w:sz w:val="32"/>
          <w:szCs w:val="32"/>
          <w:highlight w:val="none"/>
          <w:u w:val="none"/>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kern w:val="0"/>
          <w:sz w:val="32"/>
          <w:szCs w:val="32"/>
          <w:highlight w:val="none"/>
        </w:rPr>
      </w:pPr>
      <w:r>
        <w:rPr>
          <w:rFonts w:hint="eastAsia" w:ascii="黑体" w:hAnsi="黑体" w:eastAsia="黑体"/>
          <w:kern w:val="0"/>
          <w:sz w:val="32"/>
          <w:szCs w:val="32"/>
          <w:highlight w:val="none"/>
        </w:rPr>
        <w:t>第</w:t>
      </w:r>
      <w:r>
        <w:rPr>
          <w:rFonts w:hint="eastAsia" w:ascii="黑体" w:hAnsi="黑体" w:eastAsia="黑体"/>
          <w:kern w:val="0"/>
          <w:sz w:val="32"/>
          <w:szCs w:val="32"/>
          <w:highlight w:val="none"/>
          <w:lang w:eastAsia="zh-CN"/>
        </w:rPr>
        <w:t>五十</w:t>
      </w:r>
      <w:r>
        <w:rPr>
          <w:rFonts w:hint="eastAsia" w:ascii="黑体" w:hAnsi="黑体" w:eastAsia="黑体"/>
          <w:kern w:val="0"/>
          <w:sz w:val="32"/>
          <w:szCs w:val="32"/>
          <w:highlight w:val="none"/>
        </w:rPr>
        <w:t>条</w:t>
      </w:r>
      <w:r>
        <w:rPr>
          <w:rFonts w:hint="eastAsia" w:ascii="黑体" w:hAnsi="黑体" w:eastAsia="黑体"/>
          <w:kern w:val="0"/>
          <w:sz w:val="32"/>
          <w:szCs w:val="32"/>
          <w:highlight w:val="none"/>
          <w:lang w:val="en-US" w:eastAsia="zh-CN"/>
        </w:rPr>
        <w:t xml:space="preserve">  </w:t>
      </w:r>
      <w:r>
        <w:rPr>
          <w:rFonts w:hint="eastAsia" w:ascii="仿宋_GB2312" w:eastAsia="仿宋_GB2312"/>
          <w:kern w:val="0"/>
          <w:sz w:val="32"/>
          <w:szCs w:val="32"/>
          <w:highlight w:val="none"/>
        </w:rPr>
        <w:t>受理有关方面按规定程序移交的违规经营投资问题和线索，并进行有关证据、材料的收集、整理和分析工作。</w:t>
      </w:r>
    </w:p>
    <w:p>
      <w:pPr>
        <w:ind w:firstLine="640"/>
        <w:rPr>
          <w:rFonts w:hint="eastAsia" w:ascii="仿宋_GB2312" w:eastAsia="仿宋_GB2312"/>
          <w:kern w:val="0"/>
          <w:sz w:val="32"/>
          <w:szCs w:val="32"/>
          <w:highlight w:val="none"/>
        </w:rPr>
      </w:pPr>
      <w:r>
        <w:rPr>
          <w:rFonts w:hint="eastAsia" w:ascii="黑体" w:hAnsi="黑体" w:eastAsia="黑体"/>
          <w:kern w:val="0"/>
          <w:sz w:val="32"/>
          <w:szCs w:val="32"/>
          <w:highlight w:val="none"/>
        </w:rPr>
        <w:t>第</w:t>
      </w:r>
      <w:r>
        <w:rPr>
          <w:rFonts w:hint="eastAsia" w:ascii="黑体" w:hAnsi="黑体" w:eastAsia="黑体"/>
          <w:kern w:val="0"/>
          <w:sz w:val="32"/>
          <w:szCs w:val="32"/>
          <w:highlight w:val="none"/>
          <w:lang w:eastAsia="zh-CN"/>
        </w:rPr>
        <w:t>五十一</w:t>
      </w:r>
      <w:r>
        <w:rPr>
          <w:rFonts w:hint="eastAsia" w:ascii="黑体" w:hAnsi="黑体" w:eastAsia="黑体"/>
          <w:kern w:val="0"/>
          <w:sz w:val="32"/>
          <w:szCs w:val="32"/>
          <w:highlight w:val="none"/>
        </w:rPr>
        <w:t>条</w:t>
      </w:r>
      <w:r>
        <w:rPr>
          <w:rFonts w:hint="eastAsia" w:ascii="仿宋_GB2312" w:eastAsia="仿宋_GB2312"/>
          <w:kern w:val="0"/>
          <w:sz w:val="32"/>
          <w:szCs w:val="32"/>
          <w:highlight w:val="none"/>
        </w:rPr>
        <w:t>　</w:t>
      </w:r>
      <w:r>
        <w:rPr>
          <w:rFonts w:hint="eastAsia" w:ascii="仿宋_GB2312" w:eastAsia="仿宋_GB2312"/>
          <w:kern w:val="0"/>
          <w:sz w:val="32"/>
          <w:szCs w:val="32"/>
          <w:highlight w:val="none"/>
          <w:lang w:eastAsia="zh-CN"/>
        </w:rPr>
        <w:t>区</w:t>
      </w:r>
      <w:r>
        <w:rPr>
          <w:rFonts w:hint="eastAsia" w:ascii="仿宋_GB2312" w:eastAsia="仿宋_GB2312"/>
          <w:kern w:val="0"/>
          <w:sz w:val="32"/>
          <w:szCs w:val="32"/>
          <w:highlight w:val="none"/>
        </w:rPr>
        <w:t>国资委和企业专门责任追究机构受理的违规经营投资问题和线索包括：</w:t>
      </w:r>
    </w:p>
    <w:p>
      <w:pPr>
        <w:ind w:firstLine="640"/>
        <w:rPr>
          <w:rFonts w:hint="eastAsia" w:ascii="仿宋_GB2312" w:eastAsia="仿宋_GB2312"/>
          <w:kern w:val="0"/>
          <w:sz w:val="32"/>
          <w:szCs w:val="32"/>
          <w:highlight w:val="none"/>
        </w:rPr>
      </w:pPr>
      <w:r>
        <w:rPr>
          <w:rFonts w:hint="eastAsia" w:ascii="仿宋_GB2312" w:eastAsia="仿宋_GB2312"/>
          <w:kern w:val="0"/>
          <w:sz w:val="32"/>
          <w:szCs w:val="32"/>
          <w:highlight w:val="none"/>
        </w:rPr>
        <w:t>（一）国有资产监督管理工作中发现的。</w:t>
      </w:r>
    </w:p>
    <w:p>
      <w:pPr>
        <w:ind w:firstLine="640"/>
        <w:rPr>
          <w:rFonts w:hint="eastAsia" w:ascii="仿宋_GB2312" w:eastAsia="仿宋_GB2312"/>
          <w:kern w:val="0"/>
          <w:sz w:val="32"/>
          <w:szCs w:val="32"/>
          <w:highlight w:val="none"/>
        </w:rPr>
      </w:pPr>
      <w:r>
        <w:rPr>
          <w:rFonts w:hint="eastAsia" w:ascii="仿宋_GB2312" w:eastAsia="仿宋_GB2312"/>
          <w:kern w:val="0"/>
          <w:sz w:val="32"/>
          <w:szCs w:val="32"/>
          <w:highlight w:val="none"/>
        </w:rPr>
        <w:t>（二）纪检监察、巡视巡察、审计及其他有关部门移交的。</w:t>
      </w:r>
    </w:p>
    <w:p>
      <w:pPr>
        <w:ind w:firstLine="640"/>
        <w:rPr>
          <w:rFonts w:hint="eastAsia" w:ascii="仿宋_GB2312" w:eastAsia="仿宋_GB2312"/>
          <w:kern w:val="0"/>
          <w:sz w:val="32"/>
          <w:szCs w:val="32"/>
          <w:highlight w:val="none"/>
        </w:rPr>
      </w:pPr>
      <w:r>
        <w:rPr>
          <w:rFonts w:hint="eastAsia" w:ascii="仿宋_GB2312" w:eastAsia="仿宋_GB2312"/>
          <w:kern w:val="0"/>
          <w:sz w:val="32"/>
          <w:szCs w:val="32"/>
          <w:highlight w:val="none"/>
        </w:rPr>
        <w:t>（三）企业报告的。</w:t>
      </w:r>
    </w:p>
    <w:p>
      <w:pPr>
        <w:ind w:firstLine="640"/>
        <w:rPr>
          <w:rFonts w:hint="eastAsia" w:ascii="仿宋_GB2312" w:eastAsia="仿宋_GB2312"/>
          <w:kern w:val="0"/>
          <w:sz w:val="32"/>
          <w:szCs w:val="32"/>
          <w:highlight w:val="none"/>
          <w:lang w:val="en-US" w:eastAsia="zh-CN"/>
        </w:rPr>
      </w:pPr>
      <w:r>
        <w:rPr>
          <w:rFonts w:hint="eastAsia" w:ascii="仿宋_GB2312" w:eastAsia="仿宋_GB2312"/>
          <w:kern w:val="0"/>
          <w:sz w:val="32"/>
          <w:szCs w:val="32"/>
          <w:highlight w:val="none"/>
        </w:rPr>
        <w:t>（四）其他有关违规经营投资的问题和线索。</w:t>
      </w:r>
      <w:r>
        <w:rPr>
          <w:rFonts w:hint="eastAsia" w:ascii="仿宋_GB2312" w:eastAsia="仿宋_GB2312"/>
          <w:kern w:val="0"/>
          <w:sz w:val="32"/>
          <w:szCs w:val="32"/>
          <w:highlight w:val="none"/>
          <w:lang w:val="en-US" w:eastAsia="zh-CN"/>
        </w:rPr>
        <w:t>。</w:t>
      </w:r>
    </w:p>
    <w:p>
      <w:pPr>
        <w:ind w:firstLine="640"/>
        <w:rPr>
          <w:rFonts w:hint="default" w:ascii="仿宋_GB2312" w:eastAsia="仿宋_GB2312"/>
          <w:kern w:val="0"/>
          <w:sz w:val="32"/>
          <w:szCs w:val="32"/>
          <w:highlight w:val="none"/>
          <w:lang w:val="en-US"/>
        </w:rPr>
      </w:pPr>
      <w:r>
        <w:rPr>
          <w:rFonts w:hint="eastAsia" w:ascii="黑体" w:hAnsi="黑体" w:eastAsia="黑体" w:cs="黑体"/>
          <w:kern w:val="0"/>
          <w:sz w:val="32"/>
          <w:szCs w:val="32"/>
          <w:highlight w:val="none"/>
          <w:lang w:val="en-US"/>
        </w:rPr>
        <w:t>第五十二条</w:t>
      </w:r>
      <w:r>
        <w:rPr>
          <w:rFonts w:hint="default" w:ascii="仿宋_GB2312" w:eastAsia="仿宋_GB2312"/>
          <w:kern w:val="0"/>
          <w:sz w:val="32"/>
          <w:szCs w:val="32"/>
          <w:highlight w:val="none"/>
          <w:lang w:val="en-US"/>
        </w:rPr>
        <w:t xml:space="preserve">  对受理的违规经营投资问题和线索，及相关证据、材料等进行必要的初步核实，主要工作内容包括：</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（一）资产损失及其他严重不良后果的情况。</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（二）违规违纪违法的情况。</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（三）是否属于责任追究范围。</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（四）有关方面的处理建议和要求等。</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初步核实工作一般应在30个工作日内完成，根据工作需要可以适当延长。</w:t>
      </w:r>
    </w:p>
    <w:p>
      <w:pPr>
        <w:ind w:firstLine="640"/>
        <w:rPr>
          <w:rFonts w:hint="default" w:ascii="仿宋_GB2312" w:eastAsia="仿宋_GB2312"/>
          <w:kern w:val="0"/>
          <w:sz w:val="32"/>
          <w:szCs w:val="32"/>
          <w:highlight w:val="none"/>
          <w:lang w:val="en-US"/>
        </w:rPr>
      </w:pPr>
      <w:r>
        <w:rPr>
          <w:rFonts w:hint="eastAsia" w:ascii="黑体" w:hAnsi="黑体" w:eastAsia="黑体" w:cs="黑体"/>
          <w:kern w:val="0"/>
          <w:sz w:val="32"/>
          <w:szCs w:val="32"/>
          <w:highlight w:val="none"/>
          <w:lang w:val="en-US"/>
        </w:rPr>
        <w:t>第五十三条</w:t>
      </w:r>
      <w:r>
        <w:rPr>
          <w:rFonts w:hint="default" w:ascii="仿宋_GB2312" w:eastAsia="仿宋_GB2312"/>
          <w:kern w:val="0"/>
          <w:sz w:val="32"/>
          <w:szCs w:val="32"/>
          <w:highlight w:val="none"/>
          <w:lang w:val="en-US"/>
        </w:rPr>
        <w:t xml:space="preserve">  根据初步核实情况，对确有违规违纪违法事实的，按照规定的职责权限和程序进行分类处置。其中：</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（一）属于</w:t>
      </w:r>
      <w:r>
        <w:rPr>
          <w:rFonts w:hint="eastAsia" w:ascii="仿宋_GB2312" w:eastAsia="仿宋_GB2312"/>
          <w:kern w:val="0"/>
          <w:sz w:val="32"/>
          <w:szCs w:val="32"/>
          <w:highlight w:val="none"/>
          <w:lang w:val="en-US" w:eastAsia="zh-CN"/>
        </w:rPr>
        <w:t>区</w:t>
      </w:r>
      <w:r>
        <w:rPr>
          <w:rFonts w:hint="default" w:ascii="仿宋_GB2312" w:eastAsia="仿宋_GB2312"/>
          <w:kern w:val="0"/>
          <w:sz w:val="32"/>
          <w:szCs w:val="32"/>
          <w:highlight w:val="none"/>
          <w:lang w:val="en-US"/>
        </w:rPr>
        <w:t>国资委责任追究职责范围的，由</w:t>
      </w:r>
      <w:r>
        <w:rPr>
          <w:rFonts w:hint="eastAsia" w:ascii="仿宋_GB2312" w:eastAsia="仿宋_GB2312"/>
          <w:kern w:val="0"/>
          <w:sz w:val="32"/>
          <w:szCs w:val="32"/>
          <w:highlight w:val="none"/>
          <w:lang w:val="en-US" w:eastAsia="zh-CN"/>
        </w:rPr>
        <w:t>区</w:t>
      </w:r>
      <w:r>
        <w:rPr>
          <w:rFonts w:hint="default" w:ascii="仿宋_GB2312" w:eastAsia="仿宋_GB2312"/>
          <w:kern w:val="0"/>
          <w:sz w:val="32"/>
          <w:szCs w:val="32"/>
          <w:highlight w:val="none"/>
          <w:lang w:val="en-US"/>
        </w:rPr>
        <w:t>国资委专门责任追究机构组织实施核查工作。</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（二）属于企业责任追究职责范围的，移交和督促相关企业进行责任追究。</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（三）涉及</w:t>
      </w:r>
      <w:r>
        <w:rPr>
          <w:rFonts w:hint="eastAsia" w:ascii="仿宋_GB2312" w:eastAsia="仿宋_GB2312"/>
          <w:kern w:val="0"/>
          <w:sz w:val="32"/>
          <w:szCs w:val="32"/>
          <w:highlight w:val="none"/>
          <w:lang w:val="en-US" w:eastAsia="zh-CN"/>
        </w:rPr>
        <w:t>区</w:t>
      </w:r>
      <w:r>
        <w:rPr>
          <w:rFonts w:hint="default" w:ascii="仿宋_GB2312" w:eastAsia="仿宋_GB2312"/>
          <w:kern w:val="0"/>
          <w:sz w:val="32"/>
          <w:szCs w:val="32"/>
          <w:highlight w:val="none"/>
          <w:lang w:val="en-US"/>
        </w:rPr>
        <w:t>管干部的违规经营投资问题线索，</w:t>
      </w:r>
      <w:r>
        <w:rPr>
          <w:rFonts w:hint="eastAsia" w:ascii="仿宋_GB2312" w:eastAsia="仿宋_GB2312"/>
          <w:kern w:val="0"/>
          <w:sz w:val="32"/>
          <w:szCs w:val="32"/>
          <w:highlight w:val="none"/>
          <w:lang w:val="en-US" w:eastAsia="zh-CN"/>
        </w:rPr>
        <w:t>移送纪检监察机构</w:t>
      </w:r>
      <w:r>
        <w:rPr>
          <w:rFonts w:hint="default" w:ascii="仿宋_GB2312" w:eastAsia="仿宋_GB2312"/>
          <w:kern w:val="0"/>
          <w:sz w:val="32"/>
          <w:szCs w:val="32"/>
          <w:highlight w:val="none"/>
          <w:lang w:val="en-US"/>
        </w:rPr>
        <w:t>。</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（四）属于其他部门责任追究职责范围的，移送有关部门。</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（五）涉嫌违纪或职务违法的问题和线索，移送纪检监察机构。</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（六）涉嫌犯罪的问题和线索，移送监察机关或司法机关。</w:t>
      </w:r>
    </w:p>
    <w:p>
      <w:pPr>
        <w:ind w:firstLine="640"/>
        <w:rPr>
          <w:rFonts w:hint="default" w:ascii="仿宋_GB2312" w:eastAsia="仿宋_GB2312"/>
          <w:kern w:val="0"/>
          <w:sz w:val="32"/>
          <w:szCs w:val="32"/>
          <w:highlight w:val="none"/>
          <w:lang w:val="en-US"/>
        </w:rPr>
      </w:pPr>
      <w:r>
        <w:rPr>
          <w:rFonts w:hint="eastAsia" w:ascii="黑体" w:hAnsi="黑体" w:eastAsia="黑体" w:cs="黑体"/>
          <w:kern w:val="0"/>
          <w:sz w:val="32"/>
          <w:szCs w:val="32"/>
          <w:highlight w:val="none"/>
          <w:lang w:val="en-US"/>
        </w:rPr>
        <w:t>第五十四条</w:t>
      </w:r>
      <w:r>
        <w:rPr>
          <w:rFonts w:hint="default" w:ascii="仿宋_GB2312" w:eastAsia="仿宋_GB2312"/>
          <w:kern w:val="0"/>
          <w:sz w:val="32"/>
          <w:szCs w:val="32"/>
          <w:highlight w:val="none"/>
          <w:lang w:val="en-US"/>
        </w:rPr>
        <w:t xml:space="preserve">  受理机构对违规经营投资事项及时组织开展核查工作，核实责任追究情形，确定资产损失程度，查清资产损失原因，认定相关人员责任等。</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有关企业或人员正在实施减少或挽回资产损失工作的，结合相关工作进展情况，适时启动责任追究工作。</w:t>
      </w:r>
    </w:p>
    <w:p>
      <w:pPr>
        <w:ind w:firstLine="640"/>
        <w:rPr>
          <w:rFonts w:hint="default" w:ascii="仿宋_GB2312" w:eastAsia="仿宋_GB2312"/>
          <w:kern w:val="0"/>
          <w:sz w:val="32"/>
          <w:szCs w:val="32"/>
          <w:highlight w:val="none"/>
          <w:lang w:val="en-US"/>
        </w:rPr>
      </w:pPr>
      <w:r>
        <w:rPr>
          <w:rFonts w:hint="eastAsia" w:ascii="黑体" w:hAnsi="黑体" w:eastAsia="黑体" w:cs="黑体"/>
          <w:kern w:val="0"/>
          <w:sz w:val="32"/>
          <w:szCs w:val="32"/>
          <w:highlight w:val="none"/>
          <w:lang w:val="en-US"/>
        </w:rPr>
        <w:t>第五十五条</w:t>
      </w:r>
      <w:r>
        <w:rPr>
          <w:rFonts w:hint="default" w:ascii="仿宋_GB2312" w:eastAsia="仿宋_GB2312"/>
          <w:kern w:val="0"/>
          <w:sz w:val="32"/>
          <w:szCs w:val="32"/>
          <w:highlight w:val="none"/>
          <w:lang w:val="en-US"/>
        </w:rPr>
        <w:t xml:space="preserve">  核查工作可以采取以下工作措施核查取证：</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（一）与被核查事项有关的人员谈话，形成核查谈话记录，并要求有关人员作出书面说明。</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（二）查阅、复制被核查企业的有关文件、会议纪要（记录）、资料和账簿、原始凭证等相关材料。</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（三）实地核查企业实物资产等。</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（四）委托具有相应资质的专业机构对有关问题进行审计、评估或鉴证等。</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（五）其他必要的工作措施。</w:t>
      </w:r>
    </w:p>
    <w:p>
      <w:pPr>
        <w:ind w:firstLine="640"/>
        <w:rPr>
          <w:rFonts w:hint="default" w:ascii="仿宋_GB2312" w:eastAsia="仿宋_GB2312"/>
          <w:kern w:val="0"/>
          <w:sz w:val="32"/>
          <w:szCs w:val="32"/>
          <w:highlight w:val="none"/>
          <w:lang w:val="en-US"/>
        </w:rPr>
      </w:pPr>
      <w:r>
        <w:rPr>
          <w:rFonts w:hint="eastAsia" w:ascii="黑体" w:hAnsi="黑体" w:eastAsia="黑体" w:cs="黑体"/>
          <w:kern w:val="0"/>
          <w:sz w:val="32"/>
          <w:szCs w:val="32"/>
          <w:highlight w:val="none"/>
          <w:lang w:val="en-US"/>
        </w:rPr>
        <w:t>第五十六条</w:t>
      </w:r>
      <w:r>
        <w:rPr>
          <w:rFonts w:hint="eastAsia" w:ascii="仿宋_GB2312" w:eastAsia="仿宋_GB2312"/>
          <w:kern w:val="0"/>
          <w:sz w:val="32"/>
          <w:szCs w:val="32"/>
          <w:highlight w:val="none"/>
          <w:lang w:val="en-US" w:eastAsia="zh-CN"/>
        </w:rPr>
        <w:t xml:space="preserve">  </w:t>
      </w:r>
      <w:r>
        <w:rPr>
          <w:rFonts w:hint="default" w:ascii="仿宋_GB2312" w:eastAsia="仿宋_GB2312"/>
          <w:kern w:val="0"/>
          <w:sz w:val="32"/>
          <w:szCs w:val="32"/>
          <w:highlight w:val="none"/>
          <w:lang w:val="en-US"/>
        </w:rPr>
        <w:t>在核查期间，对相关责任人未支付或兑现的绩效年薪、任期激励收入、中长期激励收益等均应暂停支付或兑现；对有可能影响核查工作顺利开展的相关责任人，可视情况采取停职、调离工作岗位、免职等措施。</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在重大违规经营投资事项核查工作中，对确有工作需要的，可请纪检监察机构提供必要支持。</w:t>
      </w:r>
    </w:p>
    <w:p>
      <w:pPr>
        <w:ind w:firstLine="640"/>
        <w:rPr>
          <w:rFonts w:hint="default" w:ascii="仿宋_GB2312" w:eastAsia="仿宋_GB2312"/>
          <w:kern w:val="0"/>
          <w:sz w:val="32"/>
          <w:szCs w:val="32"/>
          <w:highlight w:val="none"/>
          <w:lang w:val="en-US"/>
        </w:rPr>
      </w:pPr>
      <w:r>
        <w:rPr>
          <w:rFonts w:hint="eastAsia" w:ascii="黑体" w:hAnsi="黑体" w:eastAsia="黑体" w:cs="黑体"/>
          <w:kern w:val="0"/>
          <w:sz w:val="32"/>
          <w:szCs w:val="32"/>
          <w:highlight w:val="none"/>
          <w:lang w:val="en-US"/>
        </w:rPr>
        <w:t>第五十七条</w:t>
      </w:r>
      <w:r>
        <w:rPr>
          <w:rFonts w:hint="eastAsia" w:ascii="仿宋_GB2312" w:eastAsia="仿宋_GB2312"/>
          <w:kern w:val="0"/>
          <w:sz w:val="32"/>
          <w:szCs w:val="32"/>
          <w:highlight w:val="none"/>
          <w:lang w:val="en-US" w:eastAsia="zh-CN"/>
        </w:rPr>
        <w:t xml:space="preserve">  </w:t>
      </w:r>
      <w:r>
        <w:rPr>
          <w:rFonts w:hint="default" w:ascii="仿宋_GB2312" w:eastAsia="仿宋_GB2312"/>
          <w:kern w:val="0"/>
          <w:sz w:val="32"/>
          <w:szCs w:val="32"/>
          <w:highlight w:val="none"/>
          <w:lang w:val="en-US"/>
        </w:rPr>
        <w:t>核查工作一般应于6个月内完成，根据工作需要可以适当延长。</w:t>
      </w:r>
    </w:p>
    <w:p>
      <w:pPr>
        <w:ind w:firstLine="640"/>
        <w:rPr>
          <w:rFonts w:hint="default" w:ascii="仿宋_GB2312" w:eastAsia="仿宋_GB2312"/>
          <w:kern w:val="0"/>
          <w:sz w:val="32"/>
          <w:szCs w:val="32"/>
          <w:highlight w:val="none"/>
          <w:lang w:val="en-US"/>
        </w:rPr>
      </w:pPr>
      <w:r>
        <w:rPr>
          <w:rFonts w:hint="default" w:ascii="仿宋_GB2312" w:eastAsia="仿宋_GB2312"/>
          <w:kern w:val="0"/>
          <w:sz w:val="32"/>
          <w:szCs w:val="32"/>
          <w:highlight w:val="none"/>
          <w:lang w:val="en-US"/>
        </w:rPr>
        <w:t>核查工作结束后，一般应当听取企业和相关责任人关于核查工作结果的意见，形成资产损失情况核查和责任认定报告。</w:t>
      </w:r>
    </w:p>
    <w:p>
      <w:pPr>
        <w:ind w:firstLine="640"/>
        <w:rPr>
          <w:rFonts w:hint="default" w:ascii="仿宋_GB2312" w:eastAsia="仿宋_GB2312"/>
          <w:kern w:val="0"/>
          <w:sz w:val="32"/>
          <w:szCs w:val="32"/>
          <w:highlight w:val="none"/>
          <w:lang w:val="en-US"/>
        </w:rPr>
      </w:pPr>
      <w:r>
        <w:rPr>
          <w:rFonts w:hint="eastAsia" w:ascii="黑体" w:hAnsi="黑体" w:eastAsia="黑体" w:cs="黑体"/>
          <w:kern w:val="0"/>
          <w:sz w:val="32"/>
          <w:szCs w:val="32"/>
          <w:highlight w:val="none"/>
          <w:lang w:val="en-US"/>
        </w:rPr>
        <w:t>第五十八条</w:t>
      </w:r>
      <w:r>
        <w:rPr>
          <w:rFonts w:hint="default" w:ascii="仿宋_GB2312" w:eastAsia="仿宋_GB2312"/>
          <w:kern w:val="0"/>
          <w:sz w:val="32"/>
          <w:szCs w:val="32"/>
          <w:highlight w:val="none"/>
          <w:lang w:val="en-US"/>
        </w:rPr>
        <w:t>  根据核查工作结果，按照干部管理权限和相关程序对相关责任人追究处理，形成处理决定，送达有关企业及被处理人，并对有关企业提出整改要求。</w:t>
      </w:r>
    </w:p>
    <w:p>
      <w:pPr>
        <w:ind w:firstLine="640"/>
        <w:rPr>
          <w:rFonts w:hint="default" w:ascii="仿宋_GB2312" w:eastAsia="仿宋_GB2312"/>
          <w:kern w:val="0"/>
          <w:sz w:val="32"/>
          <w:szCs w:val="32"/>
          <w:highlight w:val="none"/>
          <w:lang w:val="en-US"/>
        </w:rPr>
      </w:pPr>
      <w:r>
        <w:rPr>
          <w:rFonts w:hint="eastAsia" w:ascii="黑体" w:hAnsi="黑体" w:eastAsia="黑体" w:cs="黑体"/>
          <w:kern w:val="0"/>
          <w:sz w:val="32"/>
          <w:szCs w:val="32"/>
          <w:highlight w:val="none"/>
          <w:lang w:val="en-US"/>
        </w:rPr>
        <w:t>第五十九条</w:t>
      </w:r>
      <w:r>
        <w:rPr>
          <w:rFonts w:hint="default" w:ascii="仿宋_GB2312" w:eastAsia="仿宋_GB2312"/>
          <w:kern w:val="0"/>
          <w:sz w:val="32"/>
          <w:szCs w:val="32"/>
          <w:highlight w:val="none"/>
          <w:lang w:val="en-US"/>
        </w:rPr>
        <w:t xml:space="preserve">  被处理人对处理决定有异议的，可以在处理决定送达之日起15个工作日内，提出书面申诉，并提供相关证明材料。申诉期间不停止原处理决定的执行。</w:t>
      </w:r>
    </w:p>
    <w:p>
      <w:pPr>
        <w:ind w:firstLine="640"/>
        <w:rPr>
          <w:rFonts w:hint="default" w:ascii="仿宋_GB2312" w:eastAsia="仿宋_GB2312"/>
          <w:kern w:val="0"/>
          <w:sz w:val="32"/>
          <w:szCs w:val="32"/>
          <w:highlight w:val="none"/>
          <w:lang w:val="en-US"/>
        </w:rPr>
      </w:pPr>
      <w:r>
        <w:rPr>
          <w:rFonts w:hint="eastAsia" w:ascii="仿宋_GB2312" w:eastAsia="仿宋_GB2312"/>
          <w:kern w:val="0"/>
          <w:sz w:val="32"/>
          <w:szCs w:val="32"/>
          <w:highlight w:val="none"/>
          <w:lang w:val="en-US" w:eastAsia="zh-CN"/>
        </w:rPr>
        <w:t>区</w:t>
      </w:r>
      <w:r>
        <w:rPr>
          <w:rFonts w:hint="default" w:ascii="仿宋_GB2312" w:eastAsia="仿宋_GB2312"/>
          <w:kern w:val="0"/>
          <w:sz w:val="32"/>
          <w:szCs w:val="32"/>
          <w:highlight w:val="none"/>
          <w:lang w:val="en-US"/>
        </w:rPr>
        <w:t>国资委或监管企业作出处理决定的，被处理人向作出该处理决定的单位申诉；监管企业所属子企业作出处理决定的，向上一级企业申诉。</w:t>
      </w:r>
    </w:p>
    <w:p>
      <w:pPr>
        <w:ind w:firstLine="640"/>
        <w:rPr>
          <w:rFonts w:hint="default" w:ascii="仿宋_GB2312" w:eastAsia="仿宋_GB2312"/>
          <w:kern w:val="0"/>
          <w:sz w:val="32"/>
          <w:szCs w:val="32"/>
          <w:highlight w:val="none"/>
          <w:lang w:val="en-US"/>
        </w:rPr>
      </w:pPr>
      <w:r>
        <w:rPr>
          <w:rFonts w:hint="eastAsia" w:ascii="黑体" w:hAnsi="黑体" w:eastAsia="黑体" w:cs="黑体"/>
          <w:kern w:val="0"/>
          <w:sz w:val="32"/>
          <w:szCs w:val="32"/>
          <w:highlight w:val="none"/>
          <w:lang w:val="en-US"/>
        </w:rPr>
        <w:t>第六十条</w:t>
      </w:r>
      <w:r>
        <w:rPr>
          <w:rFonts w:hint="eastAsia" w:ascii="仿宋_GB2312" w:eastAsia="仿宋_GB2312"/>
          <w:kern w:val="0"/>
          <w:sz w:val="32"/>
          <w:szCs w:val="32"/>
          <w:highlight w:val="none"/>
          <w:lang w:val="en-US" w:eastAsia="zh-CN"/>
        </w:rPr>
        <w:t xml:space="preserve">  区</w:t>
      </w:r>
      <w:r>
        <w:rPr>
          <w:rFonts w:hint="default" w:ascii="仿宋_GB2312" w:eastAsia="仿宋_GB2312"/>
          <w:kern w:val="0"/>
          <w:sz w:val="32"/>
          <w:szCs w:val="32"/>
          <w:highlight w:val="none"/>
          <w:lang w:val="en-US"/>
        </w:rPr>
        <w:t>国资委和企业应当自受理申诉之日起30个工作日内复核，作出维持、撤销或变更原处理决定的复核决定，并以适当形式告知申诉人及其所在企业。</w:t>
      </w:r>
    </w:p>
    <w:p>
      <w:pPr>
        <w:ind w:firstLine="640"/>
        <w:rPr>
          <w:rFonts w:hint="default" w:ascii="仿宋_GB2312" w:eastAsia="仿宋_GB2312"/>
          <w:kern w:val="0"/>
          <w:sz w:val="32"/>
          <w:szCs w:val="32"/>
          <w:highlight w:val="none"/>
          <w:lang w:val="en-US"/>
        </w:rPr>
      </w:pPr>
      <w:r>
        <w:rPr>
          <w:rFonts w:hint="eastAsia" w:ascii="黑体" w:hAnsi="黑体" w:eastAsia="黑体" w:cs="黑体"/>
          <w:kern w:val="0"/>
          <w:sz w:val="32"/>
          <w:szCs w:val="32"/>
          <w:highlight w:val="none"/>
          <w:lang w:val="en-US"/>
        </w:rPr>
        <w:t>第六十一条</w:t>
      </w:r>
      <w:r>
        <w:rPr>
          <w:rFonts w:hint="eastAsia" w:ascii="仿宋_GB2312" w:eastAsia="仿宋_GB2312"/>
          <w:kern w:val="0"/>
          <w:sz w:val="32"/>
          <w:szCs w:val="32"/>
          <w:highlight w:val="none"/>
          <w:lang w:val="en-US" w:eastAsia="zh-CN"/>
        </w:rPr>
        <w:t xml:space="preserve">  </w:t>
      </w:r>
      <w:r>
        <w:rPr>
          <w:rFonts w:hint="default" w:ascii="仿宋_GB2312" w:eastAsia="仿宋_GB2312"/>
          <w:kern w:val="0"/>
          <w:sz w:val="32"/>
          <w:szCs w:val="32"/>
          <w:highlight w:val="none"/>
          <w:lang w:val="en-US"/>
        </w:rPr>
        <w:t>监管企业应当按照整改要求，认真总结吸取教训，制定和落实整改措施，优化业务流程，完善内控体系，堵塞经营管理漏洞，建立健全防范经营投资风险的长效机制，并在收到处理决定之日起60个工作日内，向</w:t>
      </w:r>
      <w:r>
        <w:rPr>
          <w:rFonts w:hint="eastAsia" w:ascii="仿宋_GB2312" w:eastAsia="仿宋_GB2312"/>
          <w:kern w:val="0"/>
          <w:sz w:val="32"/>
          <w:szCs w:val="32"/>
          <w:highlight w:val="none"/>
          <w:lang w:val="en-US" w:eastAsia="zh-CN"/>
        </w:rPr>
        <w:t>区</w:t>
      </w:r>
      <w:r>
        <w:rPr>
          <w:rFonts w:hint="default" w:ascii="仿宋_GB2312" w:eastAsia="仿宋_GB2312"/>
          <w:kern w:val="0"/>
          <w:sz w:val="32"/>
          <w:szCs w:val="32"/>
          <w:highlight w:val="none"/>
          <w:lang w:val="en-US"/>
        </w:rPr>
        <w:t>国资委报送整改报告及相关材料。</w:t>
      </w:r>
    </w:p>
    <w:p>
      <w:pPr>
        <w:ind w:firstLine="640"/>
        <w:rPr>
          <w:rFonts w:hint="default" w:ascii="仿宋_GB2312" w:eastAsia="仿宋_GB2312"/>
          <w:kern w:val="0"/>
          <w:sz w:val="32"/>
          <w:szCs w:val="32"/>
          <w:highlight w:val="none"/>
          <w:lang w:val="en-US"/>
        </w:rPr>
      </w:pPr>
      <w:r>
        <w:rPr>
          <w:rFonts w:hint="eastAsia" w:ascii="黑体" w:hAnsi="黑体" w:eastAsia="黑体" w:cs="黑体"/>
          <w:kern w:val="0"/>
          <w:sz w:val="32"/>
          <w:szCs w:val="32"/>
          <w:highlight w:val="none"/>
          <w:lang w:val="en-US"/>
        </w:rPr>
        <w:t>第六十二条</w:t>
      </w:r>
      <w:r>
        <w:rPr>
          <w:rFonts w:hint="default" w:ascii="仿宋_GB2312" w:eastAsia="仿宋_GB2312"/>
          <w:kern w:val="0"/>
          <w:sz w:val="32"/>
          <w:szCs w:val="32"/>
          <w:highlight w:val="none"/>
          <w:lang w:val="en-US"/>
        </w:rPr>
        <w:t xml:space="preserve">  </w:t>
      </w:r>
      <w:r>
        <w:rPr>
          <w:rFonts w:hint="eastAsia" w:ascii="仿宋_GB2312" w:eastAsia="仿宋_GB2312"/>
          <w:kern w:val="0"/>
          <w:sz w:val="32"/>
          <w:szCs w:val="32"/>
          <w:highlight w:val="none"/>
          <w:lang w:val="en-US" w:eastAsia="zh-CN"/>
        </w:rPr>
        <w:t>区</w:t>
      </w:r>
      <w:r>
        <w:rPr>
          <w:rFonts w:hint="default" w:ascii="仿宋_GB2312" w:eastAsia="仿宋_GB2312"/>
          <w:kern w:val="0"/>
          <w:sz w:val="32"/>
          <w:szCs w:val="32"/>
          <w:highlight w:val="none"/>
          <w:lang w:val="en-US"/>
        </w:rPr>
        <w:t>国资委和企业应当积极运用信息化手段开展责任追究工作，推进相关数据信息的报送、归集、共享和综合利用，逐步建立违规经营投资损失和责任追究工作信息报送系统、企业禁入限制人员信息查询系统等，加大信息化手段在发现问题线索、专项核查、责任追究等方面的运用力度。</w:t>
      </w:r>
    </w:p>
    <w:p>
      <w:pPr>
        <w:ind w:firstLine="640"/>
        <w:rPr>
          <w:rFonts w:hint="default" w:ascii="仿宋_GB2312" w:eastAsia="仿宋_GB2312"/>
          <w:kern w:val="0"/>
          <w:sz w:val="32"/>
          <w:szCs w:val="32"/>
          <w:highlight w:val="none"/>
          <w:lang w:val="en-US"/>
        </w:rPr>
      </w:pPr>
      <w:r>
        <w:rPr>
          <w:rFonts w:hint="eastAsia" w:ascii="黑体" w:hAnsi="黑体" w:eastAsia="黑体" w:cs="黑体"/>
          <w:kern w:val="0"/>
          <w:sz w:val="32"/>
          <w:szCs w:val="32"/>
          <w:highlight w:val="none"/>
          <w:lang w:val="en-US" w:eastAsia="zh-CN"/>
        </w:rPr>
        <w:t>第</w:t>
      </w:r>
      <w:r>
        <w:rPr>
          <w:rFonts w:hint="eastAsia" w:ascii="黑体" w:hAnsi="黑体" w:eastAsia="黑体" w:cs="黑体"/>
          <w:kern w:val="0"/>
          <w:sz w:val="32"/>
          <w:szCs w:val="32"/>
          <w:highlight w:val="none"/>
          <w:lang w:val="en-US"/>
        </w:rPr>
        <w:t>六十三条</w:t>
      </w:r>
      <w:r>
        <w:rPr>
          <w:rFonts w:hint="default" w:ascii="仿宋_GB2312" w:eastAsia="仿宋_GB2312"/>
          <w:kern w:val="0"/>
          <w:sz w:val="32"/>
          <w:szCs w:val="32"/>
          <w:highlight w:val="none"/>
          <w:lang w:val="en-US"/>
        </w:rPr>
        <w:t xml:space="preserve">  </w:t>
      </w:r>
      <w:r>
        <w:rPr>
          <w:rFonts w:hint="eastAsia" w:ascii="仿宋_GB2312" w:eastAsia="仿宋_GB2312"/>
          <w:kern w:val="0"/>
          <w:sz w:val="32"/>
          <w:szCs w:val="32"/>
          <w:highlight w:val="none"/>
          <w:lang w:val="en-US" w:eastAsia="zh-CN"/>
        </w:rPr>
        <w:t>区</w:t>
      </w:r>
      <w:r>
        <w:rPr>
          <w:rFonts w:hint="default" w:ascii="仿宋_GB2312" w:eastAsia="仿宋_GB2312"/>
          <w:kern w:val="0"/>
          <w:sz w:val="32"/>
          <w:szCs w:val="32"/>
          <w:highlight w:val="none"/>
          <w:lang w:val="en-US"/>
        </w:rPr>
        <w:t>国资委和监管企业应当按照国家有关信息公开规定，逐步向社会公开违规经营投资核查处理情况和有关整改情况等，接受社会监督。</w:t>
      </w:r>
    </w:p>
    <w:p>
      <w:pPr>
        <w:keepNext w:val="0"/>
        <w:keepLines w:val="0"/>
        <w:widowControl/>
        <w:suppressLineNumbers w:val="0"/>
        <w:jc w:val="center"/>
        <w:rPr>
          <w:rFonts w:ascii="黑体" w:hAnsi="宋体" w:eastAsia="黑体" w:cs="黑体"/>
          <w:kern w:val="0"/>
          <w:sz w:val="31"/>
          <w:szCs w:val="31"/>
          <w:highlight w:val="none"/>
          <w:shd w:val="clear" w:fill="FFFFFF"/>
          <w:lang w:val="en-US" w:eastAsia="zh-CN" w:bidi="ar"/>
        </w:rPr>
      </w:pPr>
    </w:p>
    <w:p>
      <w:pPr>
        <w:keepNext w:val="0"/>
        <w:keepLines w:val="0"/>
        <w:widowControl/>
        <w:suppressLineNumbers w:val="0"/>
        <w:jc w:val="center"/>
        <w:rPr>
          <w:highlight w:val="none"/>
        </w:rPr>
      </w:pPr>
      <w:r>
        <w:rPr>
          <w:rFonts w:ascii="黑体" w:hAnsi="宋体" w:eastAsia="黑体" w:cs="黑体"/>
          <w:kern w:val="0"/>
          <w:sz w:val="31"/>
          <w:szCs w:val="31"/>
          <w:highlight w:val="none"/>
          <w:shd w:val="clear" w:fill="FFFFFF"/>
          <w:lang w:val="en-US" w:eastAsia="zh-CN" w:bidi="ar"/>
        </w:rPr>
        <w:t>第八章  附  则</w:t>
      </w:r>
    </w:p>
    <w:p>
      <w:pPr>
        <w:ind w:firstLine="640"/>
        <w:rPr>
          <w:rFonts w:hint="eastAsia" w:ascii="黑体" w:hAnsi="黑体" w:eastAsia="黑体" w:cs="黑体"/>
          <w:kern w:val="0"/>
          <w:sz w:val="32"/>
          <w:szCs w:val="32"/>
          <w:highlight w:val="none"/>
          <w:lang w:val="en-US"/>
        </w:rPr>
      </w:pPr>
    </w:p>
    <w:p>
      <w:pPr>
        <w:ind w:firstLine="640"/>
        <w:rPr>
          <w:rFonts w:hint="default" w:ascii="仿宋_GB2312" w:eastAsia="仿宋_GB2312"/>
          <w:kern w:val="0"/>
          <w:sz w:val="32"/>
          <w:szCs w:val="32"/>
          <w:highlight w:val="none"/>
          <w:lang w:val="en-US"/>
        </w:rPr>
      </w:pPr>
      <w:r>
        <w:rPr>
          <w:rFonts w:hint="eastAsia" w:ascii="黑体" w:hAnsi="黑体" w:eastAsia="黑体" w:cs="黑体"/>
          <w:kern w:val="0"/>
          <w:sz w:val="32"/>
          <w:szCs w:val="32"/>
          <w:highlight w:val="none"/>
          <w:lang w:val="en-US"/>
        </w:rPr>
        <w:t>第六十四条</w:t>
      </w:r>
      <w:r>
        <w:rPr>
          <w:rFonts w:hint="eastAsia" w:ascii="仿宋_GB2312" w:eastAsia="仿宋_GB2312"/>
          <w:kern w:val="0"/>
          <w:sz w:val="32"/>
          <w:szCs w:val="32"/>
          <w:highlight w:val="none"/>
          <w:lang w:val="en-US" w:eastAsia="zh-CN"/>
        </w:rPr>
        <w:t xml:space="preserve">  </w:t>
      </w:r>
      <w:r>
        <w:rPr>
          <w:rFonts w:hint="default" w:ascii="仿宋_GB2312" w:eastAsia="仿宋_GB2312"/>
          <w:kern w:val="0"/>
          <w:sz w:val="32"/>
          <w:szCs w:val="32"/>
          <w:highlight w:val="none"/>
          <w:lang w:val="en-US"/>
        </w:rPr>
        <w:t>监管企业应当根据本办法，结合本企业实际情况，细化责任追究的范围、资产损失程度划分标准等，研究制定责任追究相关制度规定，并报</w:t>
      </w:r>
      <w:r>
        <w:rPr>
          <w:rFonts w:hint="eastAsia" w:ascii="仿宋_GB2312" w:eastAsia="仿宋_GB2312"/>
          <w:kern w:val="0"/>
          <w:sz w:val="32"/>
          <w:szCs w:val="32"/>
          <w:highlight w:val="none"/>
          <w:lang w:val="en-US" w:eastAsia="zh-CN"/>
        </w:rPr>
        <w:t>区</w:t>
      </w:r>
      <w:r>
        <w:rPr>
          <w:rFonts w:hint="default" w:ascii="仿宋_GB2312" w:eastAsia="仿宋_GB2312"/>
          <w:kern w:val="0"/>
          <w:sz w:val="32"/>
          <w:szCs w:val="32"/>
          <w:highlight w:val="none"/>
          <w:lang w:val="en-US"/>
        </w:rPr>
        <w:t>国资委备案。</w:t>
      </w:r>
    </w:p>
    <w:p>
      <w:pPr>
        <w:ind w:firstLine="640"/>
        <w:rPr>
          <w:rFonts w:hint="default" w:ascii="仿宋_GB2312" w:eastAsia="仿宋_GB2312"/>
          <w:kern w:val="0"/>
          <w:sz w:val="32"/>
          <w:szCs w:val="32"/>
          <w:highlight w:val="none"/>
          <w:lang w:val="en-US"/>
        </w:rPr>
      </w:pPr>
      <w:r>
        <w:rPr>
          <w:rFonts w:hint="eastAsia" w:ascii="黑体" w:hAnsi="黑体" w:eastAsia="黑体" w:cs="黑体"/>
          <w:kern w:val="0"/>
          <w:sz w:val="32"/>
          <w:szCs w:val="32"/>
          <w:highlight w:val="none"/>
          <w:lang w:val="en-US"/>
        </w:rPr>
        <w:t>第六十五条</w:t>
      </w:r>
      <w:r>
        <w:rPr>
          <w:rFonts w:hint="eastAsia" w:ascii="仿宋_GB2312" w:eastAsia="仿宋_GB2312"/>
          <w:kern w:val="0"/>
          <w:sz w:val="32"/>
          <w:szCs w:val="32"/>
          <w:highlight w:val="none"/>
          <w:lang w:val="en-US" w:eastAsia="zh-CN"/>
        </w:rPr>
        <w:t xml:space="preserve">  </w:t>
      </w:r>
      <w:r>
        <w:rPr>
          <w:rFonts w:hint="default" w:ascii="仿宋_GB2312" w:eastAsia="仿宋_GB2312"/>
          <w:kern w:val="0"/>
          <w:sz w:val="32"/>
          <w:szCs w:val="32"/>
          <w:highlight w:val="none"/>
          <w:lang w:val="en-US"/>
        </w:rPr>
        <w:t>国有相对控股企业、国有参股企业责任追究工作，可参照本办法向国有相对控股企业、国有参股企业股东会提请开展责任追究工作。国有相对控股企业、国有参股企业中的国有股东代表未按照出资人指示提出议案、发表意见、行使表决权，或未按照制度规定将企业的决策情况上报出资人，造成国有权益损失的，应当参照本办法追究国有股东代表的责任。</w:t>
      </w:r>
    </w:p>
    <w:p>
      <w:pPr>
        <w:ind w:firstLine="640"/>
        <w:rPr>
          <w:rFonts w:hint="default" w:ascii="仿宋_GB2312" w:eastAsia="仿宋_GB2312"/>
          <w:kern w:val="0"/>
          <w:sz w:val="32"/>
          <w:szCs w:val="32"/>
          <w:highlight w:val="none"/>
          <w:lang w:val="en-US"/>
        </w:rPr>
      </w:pPr>
      <w:r>
        <w:rPr>
          <w:rFonts w:hint="eastAsia" w:ascii="黑体" w:hAnsi="黑体" w:eastAsia="黑体" w:cs="黑体"/>
          <w:kern w:val="0"/>
          <w:sz w:val="32"/>
          <w:szCs w:val="32"/>
          <w:highlight w:val="none"/>
          <w:lang w:val="en-US"/>
        </w:rPr>
        <w:t>第六十六条</w:t>
      </w:r>
      <w:r>
        <w:rPr>
          <w:rFonts w:hint="default" w:ascii="仿宋_GB2312" w:eastAsia="仿宋_GB2312"/>
          <w:kern w:val="0"/>
          <w:sz w:val="32"/>
          <w:szCs w:val="32"/>
          <w:highlight w:val="none"/>
          <w:lang w:val="en-US"/>
        </w:rPr>
        <w:t>  对发生安全生产、环境污染责任事故和重大不稳定事件的，按照国家</w:t>
      </w:r>
      <w:r>
        <w:rPr>
          <w:rFonts w:hint="eastAsia" w:ascii="仿宋_GB2312" w:eastAsia="仿宋_GB2312"/>
          <w:kern w:val="0"/>
          <w:sz w:val="32"/>
          <w:szCs w:val="32"/>
          <w:highlight w:val="none"/>
          <w:lang w:val="en-US" w:eastAsia="zh-CN"/>
        </w:rPr>
        <w:t>、</w:t>
      </w:r>
      <w:r>
        <w:rPr>
          <w:rFonts w:hint="default" w:ascii="仿宋_GB2312" w:eastAsia="仿宋_GB2312"/>
          <w:kern w:val="0"/>
          <w:sz w:val="32"/>
          <w:szCs w:val="32"/>
          <w:highlight w:val="none"/>
          <w:lang w:val="en-US"/>
        </w:rPr>
        <w:t>天津市</w:t>
      </w:r>
      <w:r>
        <w:rPr>
          <w:rFonts w:hint="eastAsia" w:ascii="仿宋_GB2312" w:eastAsia="仿宋_GB2312"/>
          <w:kern w:val="0"/>
          <w:sz w:val="32"/>
          <w:szCs w:val="32"/>
          <w:highlight w:val="none"/>
          <w:lang w:val="en-US" w:eastAsia="zh-CN"/>
        </w:rPr>
        <w:t>和宁河区</w:t>
      </w:r>
      <w:r>
        <w:rPr>
          <w:rFonts w:hint="default" w:ascii="仿宋_GB2312" w:eastAsia="仿宋_GB2312"/>
          <w:kern w:val="0"/>
          <w:sz w:val="32"/>
          <w:szCs w:val="32"/>
          <w:highlight w:val="none"/>
          <w:lang w:val="en-US"/>
        </w:rPr>
        <w:t>有关规定另行处理。</w:t>
      </w:r>
    </w:p>
    <w:p>
      <w:pPr>
        <w:ind w:firstLine="640"/>
        <w:rPr>
          <w:rFonts w:hint="default" w:ascii="仿宋_GB2312" w:eastAsia="仿宋_GB2312"/>
          <w:color w:val="auto"/>
          <w:kern w:val="0"/>
          <w:sz w:val="32"/>
          <w:szCs w:val="32"/>
          <w:highlight w:val="none"/>
          <w:lang w:val="en-US"/>
        </w:rPr>
      </w:pPr>
      <w:r>
        <w:rPr>
          <w:rFonts w:hint="eastAsia" w:ascii="黑体" w:hAnsi="黑体" w:eastAsia="黑体" w:cs="黑体"/>
          <w:color w:val="auto"/>
          <w:kern w:val="0"/>
          <w:sz w:val="32"/>
          <w:szCs w:val="32"/>
          <w:highlight w:val="none"/>
          <w:lang w:val="en-US"/>
        </w:rPr>
        <w:t>第六十七条</w:t>
      </w:r>
      <w:r>
        <w:rPr>
          <w:rFonts w:hint="default" w:ascii="仿宋_GB2312" w:eastAsia="仿宋_GB2312"/>
          <w:color w:val="auto"/>
          <w:kern w:val="0"/>
          <w:sz w:val="32"/>
          <w:szCs w:val="32"/>
          <w:highlight w:val="none"/>
          <w:lang w:val="en-US"/>
        </w:rPr>
        <w:t>  本办法由</w:t>
      </w:r>
      <w:r>
        <w:rPr>
          <w:rFonts w:hint="eastAsia" w:ascii="仿宋_GB2312" w:eastAsia="仿宋_GB2312"/>
          <w:color w:val="auto"/>
          <w:kern w:val="0"/>
          <w:sz w:val="32"/>
          <w:szCs w:val="32"/>
          <w:highlight w:val="none"/>
          <w:lang w:val="en-US" w:eastAsia="zh-CN"/>
        </w:rPr>
        <w:t>宁河区</w:t>
      </w:r>
      <w:r>
        <w:rPr>
          <w:rFonts w:hint="default" w:ascii="仿宋_GB2312" w:eastAsia="仿宋_GB2312"/>
          <w:color w:val="auto"/>
          <w:kern w:val="0"/>
          <w:sz w:val="32"/>
          <w:szCs w:val="32"/>
          <w:highlight w:val="none"/>
          <w:lang w:val="en-US"/>
        </w:rPr>
        <w:t>国资委负责解释。</w:t>
      </w:r>
    </w:p>
    <w:p>
      <w:pPr>
        <w:ind w:firstLine="640"/>
        <w:rPr>
          <w:rFonts w:hint="default" w:ascii="仿宋_GB2312" w:eastAsia="仿宋_GB2312"/>
          <w:kern w:val="0"/>
          <w:sz w:val="32"/>
          <w:szCs w:val="32"/>
          <w:highlight w:val="none"/>
          <w:lang w:val="en-US"/>
        </w:rPr>
      </w:pPr>
      <w:r>
        <w:rPr>
          <w:rFonts w:hint="eastAsia" w:ascii="黑体" w:hAnsi="黑体" w:eastAsia="黑体" w:cs="黑体"/>
          <w:kern w:val="0"/>
          <w:sz w:val="32"/>
          <w:szCs w:val="32"/>
          <w:highlight w:val="none"/>
          <w:lang w:val="en-US"/>
        </w:rPr>
        <w:t>第六十八条</w:t>
      </w:r>
      <w:r>
        <w:rPr>
          <w:rFonts w:hint="default" w:ascii="仿宋_GB2312" w:eastAsia="仿宋_GB2312"/>
          <w:kern w:val="0"/>
          <w:sz w:val="32"/>
          <w:szCs w:val="32"/>
          <w:highlight w:val="none"/>
          <w:lang w:val="en-US"/>
        </w:rPr>
        <w:t>  本办法自发布之日起施行。</w:t>
      </w:r>
    </w:p>
    <w:p>
      <w:pPr>
        <w:pStyle w:val="2"/>
        <w:ind w:firstLine="640"/>
        <w:rPr>
          <w:rFonts w:hint="default"/>
          <w:highlight w:val="none"/>
          <w:lang w:val="en-US"/>
        </w:rPr>
      </w:pPr>
    </w:p>
    <w:p>
      <w:pPr>
        <w:pStyle w:val="2"/>
        <w:ind w:firstLine="640"/>
        <w:rPr>
          <w:rFonts w:hint="default"/>
          <w:highlight w:val="none"/>
          <w:lang w:val="en-US"/>
        </w:rPr>
      </w:pPr>
    </w:p>
    <w:p>
      <w:pPr>
        <w:pStyle w:val="2"/>
        <w:ind w:firstLine="640"/>
        <w:rPr>
          <w:rFonts w:hint="default"/>
          <w:highlight w:val="none"/>
          <w:lang w:val="en-US"/>
        </w:rPr>
      </w:pPr>
    </w:p>
    <w:p>
      <w:pPr>
        <w:pStyle w:val="2"/>
        <w:ind w:firstLine="640"/>
        <w:rPr>
          <w:rFonts w:hint="default"/>
          <w:highlight w:val="none"/>
          <w:lang w:val="en-US"/>
        </w:rPr>
      </w:pPr>
    </w:p>
    <w:p>
      <w:pPr>
        <w:pStyle w:val="2"/>
        <w:ind w:firstLine="640"/>
        <w:rPr>
          <w:rFonts w:hint="default"/>
          <w:highlight w:val="none"/>
          <w:lang w:val="en-US"/>
        </w:rPr>
      </w:pPr>
    </w:p>
    <w:p>
      <w:pPr>
        <w:pStyle w:val="2"/>
        <w:ind w:firstLine="640"/>
        <w:rPr>
          <w:rFonts w:hint="default"/>
          <w:highlight w:val="none"/>
          <w:lang w:val="en-US"/>
        </w:rPr>
      </w:pPr>
    </w:p>
    <w:p>
      <w:pPr>
        <w:pStyle w:val="2"/>
        <w:ind w:firstLine="640"/>
        <w:rPr>
          <w:rFonts w:hint="default"/>
          <w:highlight w:val="none"/>
          <w:lang w:val="en-US"/>
        </w:rPr>
      </w:pPr>
    </w:p>
    <w:p>
      <w:pPr>
        <w:pStyle w:val="2"/>
        <w:ind w:firstLine="640"/>
        <w:rPr>
          <w:rFonts w:hint="default"/>
          <w:highlight w:val="none"/>
          <w:lang w:val="en-US"/>
        </w:rPr>
      </w:pPr>
    </w:p>
    <w:p>
      <w:pPr>
        <w:pStyle w:val="2"/>
        <w:ind w:firstLine="640"/>
        <w:rPr>
          <w:rFonts w:hint="default"/>
          <w:highlight w:val="none"/>
          <w:lang w:val="en-US"/>
        </w:rPr>
      </w:pPr>
    </w:p>
    <w:p>
      <w:pPr>
        <w:pStyle w:val="2"/>
        <w:ind w:firstLine="640"/>
        <w:rPr>
          <w:rFonts w:hint="default"/>
          <w:highlight w:val="none"/>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2010604000101010101"/>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文星标宋">
    <w:altName w:val="宋体"/>
    <w:panose1 w:val="02010604000101010101"/>
    <w:charset w:val="86"/>
    <w:family w:val="auto"/>
    <w:pitch w:val="default"/>
    <w:sig w:usb0="00000000" w:usb1="00000000" w:usb2="00000010" w:usb3="00000000" w:csb0="00040001"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C7042"/>
    <w:rsid w:val="0BAF4D00"/>
    <w:rsid w:val="0F1C7592"/>
    <w:rsid w:val="3A6856E9"/>
    <w:rsid w:val="536C7042"/>
    <w:rsid w:val="55EFA1CC"/>
    <w:rsid w:val="5E1F433C"/>
    <w:rsid w:val="653D2AEE"/>
    <w:rsid w:val="6FDE6B01"/>
    <w:rsid w:val="776EBBEE"/>
    <w:rsid w:val="78C536AA"/>
    <w:rsid w:val="7BBECFE4"/>
    <w:rsid w:val="EFAB4E48"/>
    <w:rsid w:val="FAFE9EBD"/>
    <w:rsid w:val="FFFEE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eastAsia="宋体" w:cs="Times New Roman"/>
      <w:szCs w:val="24"/>
    </w:rPr>
  </w:style>
  <w:style w:type="paragraph" w:styleId="3">
    <w:name w:val="Body Text"/>
    <w:basedOn w:val="1"/>
    <w:qFormat/>
    <w:uiPriority w:val="0"/>
    <w:rPr>
      <w:rFonts w:eastAsia="文星仿宋"/>
      <w:sz w:val="3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jc w:val="left"/>
    </w:pPr>
    <w:rPr>
      <w:rFonts w:ascii="宋体" w:hAnsi="宋体" w:eastAsia="宋体" w:cs="宋体"/>
      <w:kern w:val="0"/>
      <w:sz w:val="24"/>
      <w:szCs w:val="24"/>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2020-06-19T06:51:00Z</dcterms:created>
  <dc:creator>国资委</dc:creator>
  <cp:lastModifiedBy>admin</cp:lastModifiedBy>
  <cp:lastPrinted>2020-06-30T06:35:00Z</cp:lastPrinted>
  <dcterms:modified xsi:type="dcterms:W3CDTF">2023-05-09T09:35:43Z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