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1AF34">
      <w:pPr>
        <w:spacing w:line="579" w:lineRule="exact"/>
        <w:ind w:firstLine="936" w:firstLineChars="300"/>
        <w:rPr>
          <w:rFonts w:eastAsia="仿宋_GB2312"/>
          <w:sz w:val="32"/>
          <w:szCs w:val="32"/>
        </w:rPr>
      </w:pPr>
    </w:p>
    <w:p w14:paraId="3D4A8DF1">
      <w:pPr>
        <w:spacing w:line="579" w:lineRule="exact"/>
        <w:rPr>
          <w:rFonts w:ascii="黑体" w:hAnsi="黑体" w:eastAsia="黑体" w:cs="黑体"/>
          <w:sz w:val="32"/>
          <w:szCs w:val="32"/>
        </w:rPr>
      </w:pPr>
      <w:r>
        <w:rPr>
          <w:rFonts w:hint="eastAsia" w:ascii="黑体" w:hAnsi="黑体" w:eastAsia="黑体" w:cs="黑体"/>
          <w:sz w:val="32"/>
          <w:szCs w:val="32"/>
        </w:rPr>
        <w:t>附件</w:t>
      </w:r>
    </w:p>
    <w:p w14:paraId="2D78AF34">
      <w:pPr>
        <w:spacing w:line="579" w:lineRule="exact"/>
        <w:rPr>
          <w:rFonts w:ascii="仿宋_GB2312" w:hAnsi="仿宋_GB2312" w:eastAsia="仿宋_GB2312" w:cs="仿宋_GB2312"/>
          <w:sz w:val="32"/>
          <w:szCs w:val="32"/>
        </w:rPr>
      </w:pPr>
    </w:p>
    <w:p w14:paraId="19DEFAA9">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宁河区</w:t>
      </w:r>
      <w:r>
        <w:rPr>
          <w:rFonts w:hint="eastAsia" w:ascii="方正小标宋简体" w:hAnsi="方正小标宋简体" w:eastAsia="方正小标宋简体" w:cs="方正小标宋简体"/>
          <w:sz w:val="44"/>
          <w:szCs w:val="44"/>
        </w:rPr>
        <w:t>“免申即享”政策清单（</w:t>
      </w:r>
      <w:r>
        <w:rPr>
          <w:rFonts w:hint="eastAsia" w:ascii="方正小标宋简体" w:hAnsi="方正小标宋简体" w:eastAsia="方正小标宋简体" w:cs="方正小标宋简体"/>
          <w:sz w:val="44"/>
          <w:szCs w:val="44"/>
          <w:lang w:val="en-US" w:eastAsia="zh-CN"/>
        </w:rPr>
        <w:t>2024年版</w:t>
      </w:r>
      <w:r>
        <w:rPr>
          <w:rFonts w:hint="eastAsia" w:ascii="方正小标宋简体" w:hAnsi="方正小标宋简体" w:eastAsia="方正小标宋简体" w:cs="方正小标宋简体"/>
          <w:sz w:val="44"/>
          <w:szCs w:val="44"/>
        </w:rPr>
        <w:t>）</w:t>
      </w:r>
    </w:p>
    <w:tbl>
      <w:tblPr>
        <w:tblStyle w:val="9"/>
        <w:tblpPr w:leftFromText="180" w:rightFromText="180" w:vertAnchor="text" w:horzAnchor="page" w:tblpX="602" w:tblpY="571"/>
        <w:tblOverlap w:val="never"/>
        <w:tblW w:w="5367" w:type="pct"/>
        <w:tblInd w:w="0" w:type="dxa"/>
        <w:tblLayout w:type="fixed"/>
        <w:tblCellMar>
          <w:top w:w="0" w:type="dxa"/>
          <w:left w:w="108" w:type="dxa"/>
          <w:bottom w:w="0" w:type="dxa"/>
          <w:right w:w="108" w:type="dxa"/>
        </w:tblCellMar>
      </w:tblPr>
      <w:tblGrid>
        <w:gridCol w:w="654"/>
        <w:gridCol w:w="856"/>
        <w:gridCol w:w="3877"/>
        <w:gridCol w:w="1731"/>
        <w:gridCol w:w="2412"/>
        <w:gridCol w:w="1517"/>
        <w:gridCol w:w="1188"/>
        <w:gridCol w:w="1234"/>
        <w:gridCol w:w="2403"/>
      </w:tblGrid>
      <w:tr w14:paraId="19DF224F">
        <w:tblPrEx>
          <w:tblCellMar>
            <w:top w:w="0" w:type="dxa"/>
            <w:left w:w="108" w:type="dxa"/>
            <w:bottom w:w="0" w:type="dxa"/>
            <w:right w:w="108" w:type="dxa"/>
          </w:tblCellMar>
        </w:tblPrEx>
        <w:trPr>
          <w:cantSplit/>
          <w:trHeight w:val="839" w:hRule="atLeast"/>
          <w:tblHeader/>
        </w:trPr>
        <w:tc>
          <w:tcPr>
            <w:tcW w:w="206" w:type="pct"/>
            <w:tcBorders>
              <w:top w:val="single" w:color="000000" w:sz="4" w:space="0"/>
              <w:left w:val="single" w:color="000000" w:sz="4" w:space="0"/>
              <w:bottom w:val="single" w:color="000000" w:sz="4" w:space="0"/>
              <w:right w:val="single" w:color="000000" w:sz="4" w:space="0"/>
            </w:tcBorders>
            <w:vAlign w:val="center"/>
          </w:tcPr>
          <w:p w14:paraId="0345E716">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269" w:type="pct"/>
            <w:tcBorders>
              <w:top w:val="single" w:color="000000" w:sz="4" w:space="0"/>
              <w:left w:val="single" w:color="000000" w:sz="4" w:space="0"/>
              <w:bottom w:val="single" w:color="000000" w:sz="4" w:space="0"/>
              <w:right w:val="single" w:color="000000" w:sz="4" w:space="0"/>
            </w:tcBorders>
            <w:vAlign w:val="center"/>
          </w:tcPr>
          <w:p w14:paraId="2F525321">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主管部门</w:t>
            </w:r>
          </w:p>
        </w:tc>
        <w:tc>
          <w:tcPr>
            <w:tcW w:w="1221" w:type="pct"/>
            <w:tcBorders>
              <w:top w:val="single" w:color="000000" w:sz="4" w:space="0"/>
              <w:left w:val="single" w:color="000000" w:sz="4" w:space="0"/>
              <w:bottom w:val="single" w:color="000000" w:sz="4" w:space="0"/>
              <w:right w:val="single" w:color="000000" w:sz="4" w:space="0"/>
            </w:tcBorders>
            <w:vAlign w:val="center"/>
          </w:tcPr>
          <w:p w14:paraId="7EFADD09">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政策内容</w:t>
            </w:r>
          </w:p>
        </w:tc>
        <w:tc>
          <w:tcPr>
            <w:tcW w:w="545" w:type="pct"/>
            <w:tcBorders>
              <w:top w:val="single" w:color="000000" w:sz="4" w:space="0"/>
              <w:left w:val="single" w:color="000000" w:sz="4" w:space="0"/>
              <w:bottom w:val="single" w:color="000000" w:sz="4" w:space="0"/>
              <w:right w:val="single" w:color="000000" w:sz="4" w:space="0"/>
            </w:tcBorders>
            <w:vAlign w:val="center"/>
          </w:tcPr>
          <w:p w14:paraId="24B1A104">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涉及政务服务事项名称</w:t>
            </w:r>
          </w:p>
        </w:tc>
        <w:tc>
          <w:tcPr>
            <w:tcW w:w="759" w:type="pct"/>
            <w:tcBorders>
              <w:top w:val="single" w:color="000000" w:sz="4" w:space="0"/>
              <w:left w:val="single" w:color="000000" w:sz="4" w:space="0"/>
              <w:bottom w:val="single" w:color="000000" w:sz="4" w:space="0"/>
              <w:right w:val="single" w:color="000000" w:sz="4" w:space="0"/>
            </w:tcBorders>
            <w:vAlign w:val="center"/>
          </w:tcPr>
          <w:p w14:paraId="7B6719B3">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政策依据</w:t>
            </w:r>
          </w:p>
        </w:tc>
        <w:tc>
          <w:tcPr>
            <w:tcW w:w="477" w:type="pct"/>
            <w:tcBorders>
              <w:top w:val="single" w:color="000000" w:sz="4" w:space="0"/>
              <w:left w:val="single" w:color="000000" w:sz="4" w:space="0"/>
              <w:bottom w:val="single" w:color="000000" w:sz="4" w:space="0"/>
              <w:right w:val="single" w:color="000000" w:sz="4" w:space="0"/>
            </w:tcBorders>
            <w:vAlign w:val="center"/>
          </w:tcPr>
          <w:p w14:paraId="0E174CEE">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实施部门</w:t>
            </w:r>
          </w:p>
        </w:tc>
        <w:tc>
          <w:tcPr>
            <w:tcW w:w="374" w:type="pct"/>
            <w:tcBorders>
              <w:top w:val="single" w:color="000000" w:sz="4" w:space="0"/>
              <w:left w:val="single" w:color="000000" w:sz="4" w:space="0"/>
              <w:bottom w:val="single" w:color="000000" w:sz="4" w:space="0"/>
              <w:right w:val="single" w:color="000000" w:sz="4" w:space="0"/>
            </w:tcBorders>
            <w:vAlign w:val="center"/>
          </w:tcPr>
          <w:p w14:paraId="66DD3726">
            <w:pPr>
              <w:widowControl/>
              <w:spacing w:line="300" w:lineRule="exact"/>
              <w:jc w:val="center"/>
              <w:textAlignment w:val="center"/>
              <w:rPr>
                <w:rFonts w:hint="default" w:ascii="黑体" w:hAnsi="宋体" w:eastAsia="黑体" w:cs="黑体"/>
                <w:color w:val="000000"/>
                <w:kern w:val="0"/>
                <w:sz w:val="24"/>
                <w:lang w:val="en-US" w:eastAsia="zh-CN" w:bidi="ar"/>
              </w:rPr>
            </w:pPr>
            <w:r>
              <w:rPr>
                <w:rFonts w:hint="eastAsia" w:ascii="黑体" w:hAnsi="宋体" w:eastAsia="黑体" w:cs="黑体"/>
                <w:color w:val="000000"/>
                <w:kern w:val="0"/>
                <w:sz w:val="24"/>
                <w:lang w:val="en-US" w:eastAsia="zh-CN" w:bidi="ar"/>
              </w:rPr>
              <w:t>负责科室</w:t>
            </w:r>
          </w:p>
        </w:tc>
        <w:tc>
          <w:tcPr>
            <w:tcW w:w="388" w:type="pct"/>
            <w:tcBorders>
              <w:top w:val="single" w:color="000000" w:sz="4" w:space="0"/>
              <w:left w:val="single" w:color="000000" w:sz="4" w:space="0"/>
              <w:bottom w:val="single" w:color="000000" w:sz="4" w:space="0"/>
              <w:right w:val="single" w:color="000000" w:sz="4" w:space="0"/>
            </w:tcBorders>
            <w:vAlign w:val="center"/>
          </w:tcPr>
          <w:p w14:paraId="28CFAA03">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val="en-US" w:eastAsia="zh-CN" w:bidi="ar"/>
              </w:rPr>
              <w:t>联系人及</w:t>
            </w:r>
            <w:r>
              <w:rPr>
                <w:rFonts w:hint="eastAsia" w:ascii="黑体" w:hAnsi="宋体" w:eastAsia="黑体" w:cs="黑体"/>
                <w:color w:val="000000"/>
                <w:kern w:val="0"/>
                <w:sz w:val="24"/>
                <w:lang w:bidi="ar"/>
              </w:rPr>
              <w:t>咨询电话</w:t>
            </w:r>
          </w:p>
        </w:tc>
        <w:tc>
          <w:tcPr>
            <w:tcW w:w="756" w:type="pct"/>
            <w:tcBorders>
              <w:top w:val="single" w:color="000000" w:sz="4" w:space="0"/>
              <w:left w:val="single" w:color="000000" w:sz="4" w:space="0"/>
              <w:bottom w:val="single" w:color="000000" w:sz="4" w:space="0"/>
              <w:right w:val="single" w:color="000000" w:sz="4" w:space="0"/>
            </w:tcBorders>
            <w:vAlign w:val="center"/>
          </w:tcPr>
          <w:p w14:paraId="02CD30E6">
            <w:pPr>
              <w:widowControl/>
              <w:spacing w:line="300" w:lineRule="exact"/>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备注</w:t>
            </w:r>
          </w:p>
        </w:tc>
      </w:tr>
      <w:tr w14:paraId="7B5008AF">
        <w:tblPrEx>
          <w:tblCellMar>
            <w:top w:w="0" w:type="dxa"/>
            <w:left w:w="108" w:type="dxa"/>
            <w:bottom w:w="0" w:type="dxa"/>
            <w:right w:w="108" w:type="dxa"/>
          </w:tblCellMar>
        </w:tblPrEx>
        <w:trPr>
          <w:cantSplit/>
          <w:trHeight w:val="2544" w:hRule="atLeast"/>
        </w:trPr>
        <w:tc>
          <w:tcPr>
            <w:tcW w:w="206" w:type="pct"/>
            <w:tcBorders>
              <w:top w:val="single" w:color="000000" w:sz="4" w:space="0"/>
              <w:left w:val="single" w:color="000000" w:sz="4" w:space="0"/>
              <w:bottom w:val="single" w:color="000000" w:sz="4" w:space="0"/>
              <w:right w:val="single" w:color="000000" w:sz="4" w:space="0"/>
            </w:tcBorders>
            <w:noWrap/>
            <w:vAlign w:val="center"/>
          </w:tcPr>
          <w:p w14:paraId="52479F16">
            <w:pPr>
              <w:widowControl/>
              <w:spacing w:line="300" w:lineRule="exact"/>
              <w:jc w:val="center"/>
              <w:textAlignment w:val="center"/>
              <w:rPr>
                <w:rFonts w:eastAsia="黑体"/>
                <w:color w:val="000000"/>
                <w:sz w:val="24"/>
              </w:rPr>
            </w:pPr>
            <w:r>
              <w:rPr>
                <w:rFonts w:eastAsia="黑体"/>
                <w:color w:val="000000"/>
                <w:kern w:val="0"/>
                <w:sz w:val="24"/>
                <w:lang w:bidi="ar"/>
              </w:rPr>
              <w:t>1</w:t>
            </w:r>
          </w:p>
        </w:tc>
        <w:tc>
          <w:tcPr>
            <w:tcW w:w="269" w:type="pct"/>
            <w:tcBorders>
              <w:top w:val="single" w:color="000000" w:sz="4" w:space="0"/>
              <w:left w:val="single" w:color="000000" w:sz="4" w:space="0"/>
              <w:bottom w:val="single" w:color="000000" w:sz="4" w:space="0"/>
              <w:right w:val="single" w:color="000000" w:sz="4" w:space="0"/>
            </w:tcBorders>
            <w:vAlign w:val="center"/>
          </w:tcPr>
          <w:p w14:paraId="19044203">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市</w:t>
            </w:r>
            <w:r>
              <w:rPr>
                <w:rFonts w:hint="eastAsia" w:ascii="仿宋_GB2312" w:hAnsi="宋体" w:eastAsia="仿宋_GB2312" w:cs="仿宋_GB2312"/>
                <w:color w:val="000000"/>
                <w:kern w:val="0"/>
                <w:sz w:val="24"/>
                <w:lang w:bidi="ar"/>
              </w:rPr>
              <w:t>人社局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5361383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领取社会保险待遇资格确认坚持信息比对为主、现场核实为辅，寓认证于无形、寓认证于服务的基本原则。人社部门主要通过内部数据比对，与公安、司法、民政、交通运输、卫生健康、医保、法院等部门进行数据共享，推动人脸识别等自助认证方式，确认领取社会保险待遇资格状态。</w:t>
            </w:r>
          </w:p>
        </w:tc>
        <w:tc>
          <w:tcPr>
            <w:tcW w:w="545" w:type="pct"/>
            <w:tcBorders>
              <w:top w:val="single" w:color="000000" w:sz="4" w:space="0"/>
              <w:left w:val="single" w:color="000000" w:sz="4" w:space="0"/>
              <w:bottom w:val="single" w:color="000000" w:sz="4" w:space="0"/>
              <w:right w:val="single" w:color="000000" w:sz="4" w:space="0"/>
            </w:tcBorders>
            <w:vAlign w:val="center"/>
          </w:tcPr>
          <w:p w14:paraId="65CA490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领取养老金人员待遇资格认证</w:t>
            </w:r>
          </w:p>
        </w:tc>
        <w:tc>
          <w:tcPr>
            <w:tcW w:w="759" w:type="pct"/>
            <w:tcBorders>
              <w:top w:val="single" w:color="000000" w:sz="4" w:space="0"/>
              <w:left w:val="single" w:color="000000" w:sz="4" w:space="0"/>
              <w:bottom w:val="single" w:color="000000" w:sz="4" w:space="0"/>
              <w:right w:val="single" w:color="000000" w:sz="4" w:space="0"/>
            </w:tcBorders>
            <w:vAlign w:val="center"/>
          </w:tcPr>
          <w:p w14:paraId="185F5391">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《关于印发〈领取社会保险待遇资格确认经办规程（暂行）〉的通知》（人社厅发</w:t>
            </w:r>
            <w:r>
              <w:rPr>
                <w:rFonts w:eastAsia="仿宋_GB2312"/>
                <w:color w:val="000000"/>
                <w:kern w:val="0"/>
                <w:sz w:val="24"/>
                <w:lang w:bidi="ar"/>
              </w:rPr>
              <w:t>〔2018〕107</w:t>
            </w:r>
            <w:r>
              <w:rPr>
                <w:rFonts w:hint="eastAsia" w:ascii="仿宋_GB2312" w:hAnsi="宋体" w:eastAsia="仿宋_GB2312" w:cs="仿宋_GB2312"/>
                <w:color w:val="000000"/>
                <w:kern w:val="0"/>
                <w:sz w:val="24"/>
                <w:lang w:bidi="ar"/>
              </w:rPr>
              <w:t>号）</w:t>
            </w:r>
          </w:p>
        </w:tc>
        <w:tc>
          <w:tcPr>
            <w:tcW w:w="477" w:type="pct"/>
            <w:tcBorders>
              <w:top w:val="single" w:color="000000" w:sz="4" w:space="0"/>
              <w:left w:val="single" w:color="000000" w:sz="4" w:space="0"/>
              <w:bottom w:val="single" w:color="000000" w:sz="4" w:space="0"/>
              <w:right w:val="single" w:color="000000" w:sz="4" w:space="0"/>
            </w:tcBorders>
            <w:vAlign w:val="center"/>
          </w:tcPr>
          <w:p w14:paraId="38F7E510">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区社保分中心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2720">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养老保险待遇发放科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F17A">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eastAsia="zh-CN" w:bidi="ar"/>
              </w:rPr>
              <w:t>王金宝</w:t>
            </w:r>
            <w:r>
              <w:rPr>
                <w:rFonts w:hint="eastAsia" w:eastAsia="仿宋_GB2312"/>
                <w:color w:val="000000"/>
                <w:kern w:val="0"/>
                <w:sz w:val="24"/>
                <w:lang w:val="en-US" w:eastAsia="zh-CN" w:bidi="ar"/>
              </w:rPr>
              <w:t>69593630</w:t>
            </w:r>
          </w:p>
        </w:tc>
        <w:tc>
          <w:tcPr>
            <w:tcW w:w="756" w:type="pct"/>
            <w:tcBorders>
              <w:top w:val="single" w:color="000000" w:sz="4" w:space="0"/>
              <w:left w:val="single" w:color="000000" w:sz="4" w:space="0"/>
              <w:bottom w:val="single" w:color="000000" w:sz="4" w:space="0"/>
              <w:right w:val="single" w:color="000000" w:sz="4" w:space="0"/>
            </w:tcBorders>
            <w:vAlign w:val="center"/>
          </w:tcPr>
          <w:p w14:paraId="4B5A80C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申</w:t>
            </w:r>
            <w:r>
              <w:rPr>
                <w:rFonts w:hint="eastAsia" w:eastAsia="仿宋_GB2312"/>
                <w:color w:val="000000"/>
                <w:kern w:val="0"/>
                <w:sz w:val="24"/>
                <w:lang w:bidi="ar"/>
              </w:rPr>
              <w:t>请人也可通过线上天津人力社保APP、12333APP、微信、支付宝等渠道、线下社保服务大厅、街乡镇党群服务中心、社银一体化网点、工商银行</w:t>
            </w:r>
            <w:r>
              <w:rPr>
                <w:rFonts w:hint="eastAsia" w:ascii="仿宋_GB2312" w:hAnsi="宋体" w:eastAsia="仿宋_GB2312" w:cs="仿宋_GB2312"/>
                <w:color w:val="000000"/>
                <w:kern w:val="0"/>
                <w:sz w:val="24"/>
                <w:lang w:bidi="ar"/>
              </w:rPr>
              <w:t>网点等进行自助认证。</w:t>
            </w:r>
          </w:p>
        </w:tc>
      </w:tr>
      <w:tr w14:paraId="0CD6848D">
        <w:tblPrEx>
          <w:tblCellMar>
            <w:top w:w="0" w:type="dxa"/>
            <w:left w:w="108" w:type="dxa"/>
            <w:bottom w:w="0" w:type="dxa"/>
            <w:right w:w="108" w:type="dxa"/>
          </w:tblCellMar>
        </w:tblPrEx>
        <w:trPr>
          <w:cantSplit/>
          <w:trHeight w:val="1157"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29E031DE">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2</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0A7CAE74">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72BA8F8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享受“六税一费”优惠实行“自行判别、申报享受、有关资料留存备查”办理方式，申报时无须再向税务机关提供有关资料。纳税人根据具体政策规定自行判断是否符合优惠条件，符合条件的，纳税人申报享受税收优惠，并将有关资料留存备查。纳税人对“六税一费”优惠事项留存备查资料的真实性、合法性承担法律责任。</w:t>
            </w:r>
          </w:p>
        </w:tc>
        <w:tc>
          <w:tcPr>
            <w:tcW w:w="545" w:type="pct"/>
            <w:tcBorders>
              <w:top w:val="single" w:color="000000" w:sz="4" w:space="0"/>
              <w:left w:val="single" w:color="000000" w:sz="4" w:space="0"/>
              <w:bottom w:val="single" w:color="000000" w:sz="4" w:space="0"/>
              <w:right w:val="single" w:color="000000" w:sz="4" w:space="0"/>
            </w:tcBorders>
            <w:vAlign w:val="center"/>
          </w:tcPr>
          <w:p w14:paraId="7755A16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城市维护建设税优惠事项</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3525D960">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《关于城镇土地使用税等“六税一费”优惠事项资料留存备查的公告》（国家税务总局公</w:t>
            </w:r>
            <w:r>
              <w:rPr>
                <w:rFonts w:hint="eastAsia" w:eastAsia="仿宋_GB2312"/>
                <w:color w:val="000000"/>
                <w:kern w:val="0"/>
                <w:sz w:val="24"/>
                <w:lang w:bidi="ar"/>
              </w:rPr>
              <w:t>告2019年第21号）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6B0CA3E6">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C54C7">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2A6D5">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71C42015">
            <w:pPr>
              <w:spacing w:line="300" w:lineRule="exact"/>
              <w:rPr>
                <w:rFonts w:ascii="黑体" w:hAnsi="宋体" w:eastAsia="黑体" w:cs="黑体"/>
                <w:color w:val="000000"/>
                <w:sz w:val="24"/>
              </w:rPr>
            </w:pPr>
          </w:p>
        </w:tc>
      </w:tr>
      <w:tr w14:paraId="23B0EC04">
        <w:tblPrEx>
          <w:tblCellMar>
            <w:top w:w="0" w:type="dxa"/>
            <w:left w:w="108" w:type="dxa"/>
            <w:bottom w:w="0" w:type="dxa"/>
            <w:right w:w="108" w:type="dxa"/>
          </w:tblCellMar>
        </w:tblPrEx>
        <w:trPr>
          <w:cantSplit/>
          <w:trHeight w:val="1123"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59A15037">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7D50F7F5">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489BEB44">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3C6B186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房产税优惠事项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7C7C53BE">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2B0FDE9E">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2886B">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97FE">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4F5EE613">
            <w:pPr>
              <w:spacing w:line="300" w:lineRule="exact"/>
              <w:rPr>
                <w:rFonts w:ascii="黑体" w:hAnsi="宋体" w:eastAsia="黑体" w:cs="黑体"/>
                <w:color w:val="000000"/>
                <w:sz w:val="24"/>
              </w:rPr>
            </w:pPr>
          </w:p>
        </w:tc>
      </w:tr>
      <w:tr w14:paraId="74A1EAD6">
        <w:tblPrEx>
          <w:tblCellMar>
            <w:top w:w="0" w:type="dxa"/>
            <w:left w:w="108" w:type="dxa"/>
            <w:bottom w:w="0" w:type="dxa"/>
            <w:right w:w="108" w:type="dxa"/>
          </w:tblCellMar>
        </w:tblPrEx>
        <w:trPr>
          <w:cantSplit/>
          <w:trHeight w:val="1134"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5F0076CB">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5137A971">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53656E54">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03BD8C91">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城镇土地使用税优惠事项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044C2BC1">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58F51654">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0E8E8">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F492">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50926FE1">
            <w:pPr>
              <w:spacing w:line="300" w:lineRule="exact"/>
              <w:rPr>
                <w:rFonts w:ascii="仿宋_GB2312" w:hAnsi="宋体" w:eastAsia="仿宋_GB2312" w:cs="仿宋_GB2312"/>
                <w:color w:val="000000"/>
                <w:sz w:val="24"/>
              </w:rPr>
            </w:pPr>
          </w:p>
        </w:tc>
      </w:tr>
      <w:tr w14:paraId="5D508511">
        <w:tblPrEx>
          <w:tblCellMar>
            <w:top w:w="0" w:type="dxa"/>
            <w:left w:w="108" w:type="dxa"/>
            <w:bottom w:w="0" w:type="dxa"/>
            <w:right w:w="108" w:type="dxa"/>
          </w:tblCellMar>
        </w:tblPrEx>
        <w:trPr>
          <w:cantSplit/>
          <w:trHeight w:val="109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1D1B487D">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43046CB2">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39A17FFF">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2F84607C">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印花税优惠事项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7AE24115">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29EDD9AC">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C97F">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1FBE5">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28C4DF65">
            <w:pPr>
              <w:spacing w:line="300" w:lineRule="exact"/>
              <w:rPr>
                <w:rFonts w:ascii="黑体" w:hAnsi="宋体" w:eastAsia="黑体" w:cs="黑体"/>
                <w:color w:val="000000"/>
                <w:sz w:val="24"/>
              </w:rPr>
            </w:pPr>
          </w:p>
        </w:tc>
      </w:tr>
      <w:tr w14:paraId="1BE52955">
        <w:tblPrEx>
          <w:tblCellMar>
            <w:top w:w="0" w:type="dxa"/>
            <w:left w:w="108" w:type="dxa"/>
            <w:bottom w:w="0" w:type="dxa"/>
            <w:right w:w="108" w:type="dxa"/>
          </w:tblCellMar>
        </w:tblPrEx>
        <w:trPr>
          <w:cantSplit/>
          <w:trHeight w:val="1114"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20B1C1A3">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6FD83123">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220C8D44">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27AF44D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耕地占用税优惠事项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52C71775">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45BC3CE9">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77AF">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B032A">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1C72FDD8">
            <w:pPr>
              <w:spacing w:line="300" w:lineRule="exact"/>
              <w:rPr>
                <w:rFonts w:ascii="仿宋_GB2312" w:hAnsi="宋体" w:eastAsia="仿宋_GB2312" w:cs="仿宋_GB2312"/>
                <w:color w:val="000000"/>
                <w:sz w:val="24"/>
              </w:rPr>
            </w:pPr>
          </w:p>
        </w:tc>
      </w:tr>
      <w:tr w14:paraId="6605A16E">
        <w:tblPrEx>
          <w:tblCellMar>
            <w:top w:w="0" w:type="dxa"/>
            <w:left w:w="108" w:type="dxa"/>
            <w:bottom w:w="0" w:type="dxa"/>
            <w:right w:w="108" w:type="dxa"/>
          </w:tblCellMar>
        </w:tblPrEx>
        <w:trPr>
          <w:cantSplit/>
          <w:trHeight w:val="130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5619D2C">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4615DEA8">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777B2CCB">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68A330C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车船税优惠事项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4F3A1C4B">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0C0B846E">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15402">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F5DC">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32EEE495">
            <w:pPr>
              <w:spacing w:line="300" w:lineRule="exact"/>
              <w:rPr>
                <w:rFonts w:ascii="仿宋_GB2312" w:hAnsi="宋体" w:eastAsia="仿宋_GB2312" w:cs="仿宋_GB2312"/>
                <w:color w:val="000000"/>
                <w:sz w:val="24"/>
              </w:rPr>
            </w:pPr>
          </w:p>
        </w:tc>
      </w:tr>
      <w:tr w14:paraId="10131858">
        <w:tblPrEx>
          <w:tblCellMar>
            <w:top w:w="0" w:type="dxa"/>
            <w:left w:w="108" w:type="dxa"/>
            <w:bottom w:w="0" w:type="dxa"/>
            <w:right w:w="108" w:type="dxa"/>
          </w:tblCellMar>
        </w:tblPrEx>
        <w:trPr>
          <w:cantSplit/>
          <w:trHeight w:val="130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2F32956B">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6EC4B99B">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6767948C">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5E15B62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教育费附加征收管理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15897CC9">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50B472A3">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vAlign w:val="center"/>
          </w:tcPr>
          <w:p w14:paraId="5E6D581D">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vAlign w:val="center"/>
          </w:tcPr>
          <w:p w14:paraId="39430A34">
            <w:pPr>
              <w:widowControl/>
              <w:spacing w:line="300" w:lineRule="exact"/>
              <w:jc w:val="center"/>
              <w:textAlignment w:val="center"/>
              <w:rPr>
                <w:rFonts w:eastAsia="仿宋_GB2312"/>
                <w:color w:val="000000"/>
                <w:kern w:val="0"/>
                <w:sz w:val="24"/>
                <w:lang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14:paraId="5B9DB7D0">
            <w:pPr>
              <w:spacing w:line="300" w:lineRule="exact"/>
              <w:rPr>
                <w:rFonts w:ascii="仿宋_GB2312" w:hAnsi="宋体" w:eastAsia="仿宋_GB2312" w:cs="仿宋_GB2312"/>
                <w:color w:val="000000"/>
                <w:sz w:val="24"/>
              </w:rPr>
            </w:pPr>
          </w:p>
        </w:tc>
      </w:tr>
      <w:tr w14:paraId="24C308A8">
        <w:tblPrEx>
          <w:tblCellMar>
            <w:top w:w="0" w:type="dxa"/>
            <w:left w:w="108" w:type="dxa"/>
            <w:bottom w:w="0" w:type="dxa"/>
            <w:right w:w="108" w:type="dxa"/>
          </w:tblCellMar>
        </w:tblPrEx>
        <w:trPr>
          <w:cantSplit/>
          <w:trHeight w:val="62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2D5BCBA9">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3</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1EB3CE3E">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31CF1C12">
            <w:pPr>
              <w:widowControl/>
              <w:spacing w:line="300" w:lineRule="exact"/>
              <w:textAlignment w:val="center"/>
              <w:rPr>
                <w:rFonts w:eastAsia="仿宋_GB2312"/>
                <w:color w:val="000000"/>
                <w:kern w:val="0"/>
                <w:sz w:val="24"/>
                <w:lang w:bidi="ar"/>
              </w:rPr>
            </w:pPr>
            <w:r>
              <w:rPr>
                <w:rFonts w:hint="eastAsia" w:ascii="仿宋_GB2312" w:hAnsi="宋体" w:eastAsia="仿宋_GB2312" w:cs="仿宋_GB2312"/>
                <w:color w:val="000000"/>
                <w:kern w:val="0"/>
                <w:sz w:val="24"/>
                <w:lang w:bidi="ar"/>
              </w:rPr>
              <w:t>自</w:t>
            </w:r>
            <w:r>
              <w:rPr>
                <w:rFonts w:hint="eastAsia" w:eastAsia="仿宋_GB2312"/>
                <w:color w:val="000000"/>
                <w:kern w:val="0"/>
                <w:sz w:val="24"/>
                <w:lang w:bidi="ar"/>
              </w:rPr>
              <w:t>2022年1月1日至2024年12月31日，对我市增值税小规模纳税人、小型微利企业和个体工商户，减按50%征收资源税（不含水资源税）、城市维护建设税、房产税、城镇土地使用税、印花税（不含证券交易印花税）、耕地占用税和教育费附加、地方教育附加。</w:t>
            </w:r>
          </w:p>
          <w:p w14:paraId="34F70A1F">
            <w:pPr>
              <w:widowControl/>
              <w:spacing w:line="300" w:lineRule="exact"/>
              <w:textAlignment w:val="center"/>
              <w:rPr>
                <w:rFonts w:ascii="仿宋_GB2312" w:hAnsi="宋体" w:eastAsia="仿宋_GB2312" w:cs="仿宋_GB2312"/>
                <w:color w:val="000000"/>
                <w:sz w:val="24"/>
              </w:rPr>
            </w:pPr>
            <w:r>
              <w:rPr>
                <w:rFonts w:hint="eastAsia" w:eastAsia="仿宋_GB2312"/>
                <w:color w:val="000000"/>
                <w:kern w:val="0"/>
                <w:sz w:val="24"/>
                <w:lang w:bidi="ar"/>
              </w:rPr>
              <w:t>金三系统和电子税务局自动判别纳税人（缴费人）减征政策适用主体类型，完成减半征收，无需纳税人（缴费人）申报减税证明材料</w:t>
            </w:r>
            <w:r>
              <w:rPr>
                <w:rFonts w:hint="eastAsia" w:ascii="仿宋_GB2312" w:hAnsi="宋体" w:eastAsia="仿宋_GB2312" w:cs="仿宋_GB2312"/>
                <w:color w:val="000000"/>
                <w:kern w:val="0"/>
                <w:sz w:val="24"/>
                <w:lang w:bidi="ar"/>
              </w:rPr>
              <w:t>即可享受。</w:t>
            </w:r>
          </w:p>
        </w:tc>
        <w:tc>
          <w:tcPr>
            <w:tcW w:w="545" w:type="pct"/>
            <w:tcBorders>
              <w:top w:val="single" w:color="000000" w:sz="4" w:space="0"/>
              <w:left w:val="single" w:color="000000" w:sz="4" w:space="0"/>
              <w:bottom w:val="single" w:color="000000" w:sz="4" w:space="0"/>
              <w:right w:val="single" w:color="000000" w:sz="4" w:space="0"/>
            </w:tcBorders>
            <w:vAlign w:val="center"/>
          </w:tcPr>
          <w:p w14:paraId="74B8A62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城市维护建设税优惠事项</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53B55B43">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1.《财政部税务总局关于进一步支持小微企业和个体工商户发展有关税费政策的公告》（财政部税务总局公告2023年第12号）</w:t>
            </w:r>
          </w:p>
          <w:p w14:paraId="6526808F">
            <w:pPr>
              <w:widowControl/>
              <w:spacing w:line="300" w:lineRule="exact"/>
              <w:textAlignment w:val="center"/>
              <w:rPr>
                <w:rFonts w:ascii="仿宋_GB2312" w:hAnsi="宋体" w:eastAsia="仿宋_GB2312" w:cs="仿宋_GB2312"/>
                <w:color w:val="000000"/>
                <w:sz w:val="24"/>
              </w:rPr>
            </w:pPr>
            <w:r>
              <w:rPr>
                <w:rFonts w:hint="eastAsia" w:eastAsia="仿宋_GB2312"/>
                <w:color w:val="000000"/>
                <w:kern w:val="0"/>
                <w:sz w:val="24"/>
                <w:lang w:bidi="ar"/>
              </w:rPr>
              <w:t>2.《天津市财政局国家税务总局天津市税务局关于进一步实施“六税两费”减免政策的通知》（津财规〔2022〕5号）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31E46E1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92A34">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C4FA">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627F898E">
            <w:pPr>
              <w:spacing w:line="300" w:lineRule="exact"/>
              <w:rPr>
                <w:rFonts w:ascii="黑体" w:hAnsi="宋体" w:eastAsia="黑体" w:cs="黑体"/>
                <w:color w:val="000000"/>
                <w:sz w:val="24"/>
              </w:rPr>
            </w:pPr>
          </w:p>
        </w:tc>
      </w:tr>
      <w:tr w14:paraId="01705970">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7DC2043E">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3FF22A5B">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4B20E50F">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254DF0C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房产税优惠事项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499B3577">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67C21535">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388DF">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8385">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2EA29355">
            <w:pPr>
              <w:spacing w:line="300" w:lineRule="exact"/>
              <w:rPr>
                <w:rFonts w:ascii="黑体" w:hAnsi="宋体" w:eastAsia="黑体" w:cs="黑体"/>
                <w:color w:val="000000"/>
                <w:sz w:val="24"/>
              </w:rPr>
            </w:pPr>
          </w:p>
        </w:tc>
      </w:tr>
      <w:tr w14:paraId="0B1337D1">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4BAA306">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49B3B3E9">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0DAA63E8">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6481B69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城镇土地使用税优惠事项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6192490A">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1834C5DD">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6796">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D21E1">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46FAC782">
            <w:pPr>
              <w:spacing w:line="300" w:lineRule="exact"/>
              <w:rPr>
                <w:rFonts w:ascii="仿宋_GB2312" w:hAnsi="宋体" w:eastAsia="仿宋_GB2312" w:cs="仿宋_GB2312"/>
                <w:color w:val="000000"/>
                <w:sz w:val="24"/>
              </w:rPr>
            </w:pPr>
          </w:p>
        </w:tc>
      </w:tr>
      <w:tr w14:paraId="031F4AB4">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136094BA">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26D26EFD">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3CD65A6A">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6BBC09D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印花税优惠事项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7106D5FE">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1BF57715">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D213D">
            <w:pPr>
              <w:widowControl/>
              <w:spacing w:line="300" w:lineRule="exact"/>
              <w:jc w:val="center"/>
              <w:textAlignment w:val="center"/>
              <w:rPr>
                <w:rFonts w:ascii="Times New Roman" w:hAnsi="Times New Roman" w:eastAsia="仿宋_GB2312" w:cs="Times New Roman"/>
                <w:b/>
                <w:bCs/>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6DFB">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苗云峰</w:t>
            </w:r>
            <w:r>
              <w:rPr>
                <w:rFonts w:hint="eastAsia" w:eastAsia="仿宋_GB2312"/>
                <w:color w:val="000000"/>
                <w:kern w:val="0"/>
                <w:sz w:val="24"/>
                <w:highlight w:val="none"/>
                <w:lang w:val="en-US" w:eastAsia="zh-CN" w:bidi="ar"/>
              </w:rPr>
              <w:t>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3E088EE7">
            <w:pPr>
              <w:spacing w:line="300" w:lineRule="exact"/>
              <w:rPr>
                <w:rFonts w:ascii="黑体" w:hAnsi="宋体" w:eastAsia="黑体" w:cs="黑体"/>
                <w:color w:val="000000"/>
                <w:sz w:val="24"/>
              </w:rPr>
            </w:pPr>
          </w:p>
        </w:tc>
      </w:tr>
      <w:tr w14:paraId="381CEA66">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1D1C88B0">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1848AE85">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6A833478">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30D411A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资源税优惠事项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6B7AADC3">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26CB6680">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4228B">
            <w:pPr>
              <w:widowControl/>
              <w:spacing w:line="300" w:lineRule="exact"/>
              <w:jc w:val="center"/>
              <w:textAlignment w:val="center"/>
              <w:rPr>
                <w:rFonts w:ascii="Times New Roman" w:hAnsi="Times New Roman" w:eastAsia="仿宋_GB2312" w:cs="Times New Roman"/>
                <w:b/>
                <w:bCs/>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BBD46">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3A1681E8">
            <w:pPr>
              <w:spacing w:line="300" w:lineRule="exact"/>
              <w:rPr>
                <w:rFonts w:ascii="仿宋_GB2312" w:hAnsi="宋体" w:eastAsia="仿宋_GB2312" w:cs="仿宋_GB2312"/>
                <w:color w:val="000000"/>
                <w:sz w:val="24"/>
              </w:rPr>
            </w:pPr>
          </w:p>
        </w:tc>
      </w:tr>
      <w:tr w14:paraId="36B92583">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1599D29A">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7E934053">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468074E3">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28EF4E6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耕地占用税优惠事项</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758708CF">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7EA2C107">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AF1A1">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02E7D">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62897A50">
            <w:pPr>
              <w:spacing w:line="300" w:lineRule="exact"/>
              <w:rPr>
                <w:rFonts w:ascii="仿宋_GB2312" w:hAnsi="宋体" w:eastAsia="仿宋_GB2312" w:cs="仿宋_GB2312"/>
                <w:color w:val="000000"/>
                <w:sz w:val="24"/>
              </w:rPr>
            </w:pPr>
          </w:p>
        </w:tc>
      </w:tr>
      <w:tr w14:paraId="7DA1D1AB">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55A39C8C">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3870E50D">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4FD6F501">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6B2DB970">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教育费附加征收管理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7061F37B">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090B7328">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21A6F">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9E2BD">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14:paraId="3F1BE0BD">
            <w:pPr>
              <w:spacing w:line="300" w:lineRule="exact"/>
              <w:rPr>
                <w:rFonts w:ascii="仿宋_GB2312" w:hAnsi="宋体" w:eastAsia="仿宋_GB2312" w:cs="仿宋_GB2312"/>
                <w:color w:val="000000"/>
                <w:sz w:val="24"/>
              </w:rPr>
            </w:pPr>
          </w:p>
        </w:tc>
      </w:tr>
      <w:tr w14:paraId="3E5A428C">
        <w:tblPrEx>
          <w:tblCellMar>
            <w:top w:w="0" w:type="dxa"/>
            <w:left w:w="108" w:type="dxa"/>
            <w:bottom w:w="0" w:type="dxa"/>
            <w:right w:w="108" w:type="dxa"/>
          </w:tblCellMar>
        </w:tblPrEx>
        <w:trPr>
          <w:cantSplit/>
          <w:trHeight w:val="6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1AA0CCD">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5ACA5D21">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52D4D182">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3FB8705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地方教育附加征收管理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46D0E698">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1E9D51AC">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77F49">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D185">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14:paraId="6AB707FD">
            <w:pPr>
              <w:spacing w:line="300" w:lineRule="exact"/>
              <w:rPr>
                <w:rFonts w:ascii="仿宋_GB2312" w:hAnsi="宋体" w:eastAsia="仿宋_GB2312" w:cs="仿宋_GB2312"/>
                <w:color w:val="000000"/>
                <w:sz w:val="24"/>
              </w:rPr>
            </w:pPr>
          </w:p>
        </w:tc>
      </w:tr>
      <w:tr w14:paraId="37C387C9">
        <w:tblPrEx>
          <w:tblCellMar>
            <w:top w:w="0" w:type="dxa"/>
            <w:left w:w="108" w:type="dxa"/>
            <w:bottom w:w="0" w:type="dxa"/>
            <w:right w:w="108" w:type="dxa"/>
          </w:tblCellMar>
        </w:tblPrEx>
        <w:trPr>
          <w:cantSplit/>
          <w:trHeight w:val="240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4E3C243E">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4</w:t>
            </w:r>
          </w:p>
        </w:tc>
        <w:tc>
          <w:tcPr>
            <w:tcW w:w="269" w:type="pct"/>
            <w:tcBorders>
              <w:top w:val="single" w:color="000000" w:sz="4" w:space="0"/>
              <w:left w:val="single" w:color="000000" w:sz="4" w:space="0"/>
              <w:bottom w:val="single" w:color="000000" w:sz="4" w:space="0"/>
              <w:right w:val="single" w:color="000000" w:sz="4" w:space="0"/>
            </w:tcBorders>
            <w:vAlign w:val="center"/>
          </w:tcPr>
          <w:p w14:paraId="512932FA">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3C59B046">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土地增值税原备案类优惠政策，实行纳税人“自行判别、申报享受、有关资料留存备查”的办理方式。纳税人在土地增值税纳税申报时按规定填写申报表相应减免税栏次即可享受，相关政策规定的材料留存备查。</w:t>
            </w:r>
          </w:p>
        </w:tc>
        <w:tc>
          <w:tcPr>
            <w:tcW w:w="545" w:type="pct"/>
            <w:tcBorders>
              <w:top w:val="single" w:color="000000" w:sz="4" w:space="0"/>
              <w:left w:val="single" w:color="000000" w:sz="4" w:space="0"/>
              <w:bottom w:val="single" w:color="000000" w:sz="4" w:space="0"/>
              <w:right w:val="single" w:color="000000" w:sz="4" w:space="0"/>
            </w:tcBorders>
            <w:vAlign w:val="center"/>
          </w:tcPr>
          <w:p w14:paraId="1369130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土地增值税优惠事项</w:t>
            </w:r>
          </w:p>
        </w:tc>
        <w:tc>
          <w:tcPr>
            <w:tcW w:w="759" w:type="pct"/>
            <w:tcBorders>
              <w:top w:val="single" w:color="000000" w:sz="4" w:space="0"/>
              <w:left w:val="single" w:color="000000" w:sz="4" w:space="0"/>
              <w:bottom w:val="single" w:color="000000" w:sz="4" w:space="0"/>
              <w:right w:val="single" w:color="000000" w:sz="4" w:space="0"/>
            </w:tcBorders>
            <w:vAlign w:val="center"/>
          </w:tcPr>
          <w:p w14:paraId="4277CDB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《国家税务总局关于实施〈中华人民共和国印花税法〉等有关事项的公</w:t>
            </w:r>
            <w:r>
              <w:rPr>
                <w:rFonts w:hint="eastAsia" w:eastAsia="仿宋_GB2312"/>
                <w:color w:val="000000"/>
                <w:kern w:val="0"/>
                <w:sz w:val="24"/>
                <w:lang w:bidi="ar"/>
              </w:rPr>
              <w:t>告》（国家税务总局公告2022年第14号）</w:t>
            </w:r>
          </w:p>
        </w:tc>
        <w:tc>
          <w:tcPr>
            <w:tcW w:w="477" w:type="pct"/>
            <w:tcBorders>
              <w:top w:val="single" w:color="000000" w:sz="4" w:space="0"/>
              <w:left w:val="single" w:color="000000" w:sz="4" w:space="0"/>
              <w:bottom w:val="single" w:color="000000" w:sz="4" w:space="0"/>
              <w:right w:val="single" w:color="000000" w:sz="4" w:space="0"/>
            </w:tcBorders>
            <w:vAlign w:val="center"/>
          </w:tcPr>
          <w:p w14:paraId="0FFEB8F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FB89B">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37676">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卢天予69119023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413DEBAC">
            <w:pPr>
              <w:spacing w:line="300" w:lineRule="exact"/>
              <w:rPr>
                <w:rFonts w:ascii="仿宋_GB2312" w:hAnsi="宋体" w:eastAsia="仿宋_GB2312" w:cs="仿宋_GB2312"/>
                <w:color w:val="000000"/>
                <w:sz w:val="24"/>
              </w:rPr>
            </w:pPr>
          </w:p>
        </w:tc>
      </w:tr>
      <w:tr w14:paraId="425057A0">
        <w:tblPrEx>
          <w:tblCellMar>
            <w:top w:w="0" w:type="dxa"/>
            <w:left w:w="108" w:type="dxa"/>
            <w:bottom w:w="0" w:type="dxa"/>
            <w:right w:w="108" w:type="dxa"/>
          </w:tblCellMar>
        </w:tblPrEx>
        <w:trPr>
          <w:cantSplit/>
          <w:trHeight w:val="328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70FDB618">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5</w:t>
            </w:r>
          </w:p>
        </w:tc>
        <w:tc>
          <w:tcPr>
            <w:tcW w:w="269" w:type="pct"/>
            <w:tcBorders>
              <w:top w:val="single" w:color="000000" w:sz="4" w:space="0"/>
              <w:left w:val="single" w:color="000000" w:sz="4" w:space="0"/>
              <w:bottom w:val="single" w:color="000000" w:sz="4" w:space="0"/>
              <w:right w:val="single" w:color="000000" w:sz="4" w:space="0"/>
            </w:tcBorders>
            <w:vAlign w:val="center"/>
          </w:tcPr>
          <w:p w14:paraId="13028329">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4A435F2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享受所得税优惠事项采取“自行判别、申报享受、相关资料留存备查”的办理方式。企业应当根据经营情况以及相关税收规定自行判断是否符合优惠事项规定的条件，符合条件的可以自行计算减免税额，并通过填报企业所得税纳税申报表享受税收优惠。同时，按照规定归集和留存相关资料备查。</w:t>
            </w:r>
          </w:p>
        </w:tc>
        <w:tc>
          <w:tcPr>
            <w:tcW w:w="545" w:type="pct"/>
            <w:tcBorders>
              <w:top w:val="single" w:color="000000" w:sz="4" w:space="0"/>
              <w:left w:val="single" w:color="000000" w:sz="4" w:space="0"/>
              <w:bottom w:val="single" w:color="000000" w:sz="4" w:space="0"/>
              <w:right w:val="single" w:color="000000" w:sz="4" w:space="0"/>
            </w:tcBorders>
            <w:vAlign w:val="center"/>
          </w:tcPr>
          <w:p w14:paraId="7FB5CC0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企业所得税优惠事项</w:t>
            </w:r>
          </w:p>
        </w:tc>
        <w:tc>
          <w:tcPr>
            <w:tcW w:w="759" w:type="pct"/>
            <w:tcBorders>
              <w:top w:val="single" w:color="000000" w:sz="4" w:space="0"/>
              <w:left w:val="single" w:color="000000" w:sz="4" w:space="0"/>
              <w:bottom w:val="single" w:color="000000" w:sz="4" w:space="0"/>
              <w:right w:val="single" w:color="000000" w:sz="4" w:space="0"/>
            </w:tcBorders>
            <w:vAlign w:val="center"/>
          </w:tcPr>
          <w:p w14:paraId="0EB2F92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《国家税务总局关于发布修订后的〈企业所得税优</w:t>
            </w:r>
            <w:r>
              <w:rPr>
                <w:rFonts w:hint="eastAsia" w:eastAsia="仿宋_GB2312"/>
                <w:color w:val="000000"/>
                <w:kern w:val="0"/>
                <w:sz w:val="24"/>
                <w:lang w:bidi="ar"/>
              </w:rPr>
              <w:t>惠政策事项办理办法〉的公告》（国家税务总局公告2018年第23号</w:t>
            </w:r>
            <w:r>
              <w:rPr>
                <w:rFonts w:hint="eastAsia" w:ascii="仿宋_GB2312" w:hAnsi="宋体" w:eastAsia="仿宋_GB2312" w:cs="仿宋_GB2312"/>
                <w:color w:val="000000"/>
                <w:kern w:val="0"/>
                <w:sz w:val="24"/>
                <w:lang w:bidi="ar"/>
              </w:rPr>
              <w:t>）</w:t>
            </w:r>
          </w:p>
        </w:tc>
        <w:tc>
          <w:tcPr>
            <w:tcW w:w="477" w:type="pct"/>
            <w:tcBorders>
              <w:top w:val="single" w:color="000000" w:sz="4" w:space="0"/>
              <w:left w:val="single" w:color="000000" w:sz="4" w:space="0"/>
              <w:bottom w:val="single" w:color="000000" w:sz="4" w:space="0"/>
              <w:right w:val="single" w:color="000000" w:sz="4" w:space="0"/>
            </w:tcBorders>
            <w:vAlign w:val="center"/>
          </w:tcPr>
          <w:p w14:paraId="6EED6340">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7FBDF">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所得税科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53C4A">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朱洪浩</w:t>
            </w:r>
          </w:p>
          <w:p w14:paraId="4CE4180B">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69558139</w:t>
            </w:r>
          </w:p>
        </w:tc>
        <w:tc>
          <w:tcPr>
            <w:tcW w:w="756" w:type="pct"/>
            <w:tcBorders>
              <w:top w:val="single" w:color="000000" w:sz="4" w:space="0"/>
              <w:left w:val="single" w:color="000000" w:sz="4" w:space="0"/>
              <w:bottom w:val="single" w:color="000000" w:sz="4" w:space="0"/>
              <w:right w:val="single" w:color="000000" w:sz="4" w:space="0"/>
            </w:tcBorders>
            <w:vAlign w:val="center"/>
          </w:tcPr>
          <w:p w14:paraId="57F0D621">
            <w:pPr>
              <w:spacing w:line="300" w:lineRule="exact"/>
              <w:rPr>
                <w:rFonts w:ascii="仿宋_GB2312" w:hAnsi="宋体" w:eastAsia="仿宋_GB2312" w:cs="仿宋_GB2312"/>
                <w:color w:val="000000"/>
                <w:sz w:val="24"/>
              </w:rPr>
            </w:pPr>
          </w:p>
        </w:tc>
      </w:tr>
      <w:tr w14:paraId="1B52289B">
        <w:tblPrEx>
          <w:tblCellMar>
            <w:top w:w="0" w:type="dxa"/>
            <w:left w:w="108" w:type="dxa"/>
            <w:bottom w:w="0" w:type="dxa"/>
            <w:right w:w="108" w:type="dxa"/>
          </w:tblCellMar>
        </w:tblPrEx>
        <w:trPr>
          <w:cantSplit/>
          <w:trHeight w:val="338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6490B7D3">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6</w:t>
            </w:r>
          </w:p>
        </w:tc>
        <w:tc>
          <w:tcPr>
            <w:tcW w:w="269" w:type="pct"/>
            <w:tcBorders>
              <w:top w:val="single" w:color="000000" w:sz="4" w:space="0"/>
              <w:left w:val="single" w:color="000000" w:sz="4" w:space="0"/>
              <w:bottom w:val="single" w:color="000000" w:sz="4" w:space="0"/>
              <w:right w:val="single" w:color="000000" w:sz="4" w:space="0"/>
            </w:tcBorders>
            <w:vAlign w:val="center"/>
          </w:tcPr>
          <w:p w14:paraId="5275384F">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57914AB1">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向税务机关申报扣除资产损失，仅需填报企业所得税年度纳税申报表《资产损失税前扣除及纳税调整明细表》，不再报送资产损失相关资料。相关资料由企业留存备查。企业应当完整保存资产损失相关资料，保证资料的真实性、合法性。适用于2017年度及以后年度企业所得税汇算清缴。</w:t>
            </w:r>
          </w:p>
        </w:tc>
        <w:tc>
          <w:tcPr>
            <w:tcW w:w="545" w:type="pct"/>
            <w:tcBorders>
              <w:top w:val="single" w:color="000000" w:sz="4" w:space="0"/>
              <w:left w:val="single" w:color="000000" w:sz="4" w:space="0"/>
              <w:bottom w:val="single" w:color="000000" w:sz="4" w:space="0"/>
              <w:right w:val="single" w:color="000000" w:sz="4" w:space="0"/>
            </w:tcBorders>
            <w:vAlign w:val="center"/>
          </w:tcPr>
          <w:p w14:paraId="63F8F146">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企业所得税资产损失申报扣除</w:t>
            </w:r>
          </w:p>
        </w:tc>
        <w:tc>
          <w:tcPr>
            <w:tcW w:w="759" w:type="pct"/>
            <w:tcBorders>
              <w:top w:val="single" w:color="000000" w:sz="4" w:space="0"/>
              <w:left w:val="single" w:color="000000" w:sz="4" w:space="0"/>
              <w:bottom w:val="single" w:color="000000" w:sz="4" w:space="0"/>
              <w:right w:val="single" w:color="000000" w:sz="4" w:space="0"/>
            </w:tcBorders>
            <w:vAlign w:val="center"/>
          </w:tcPr>
          <w:p w14:paraId="01E3D90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w:t>
            </w:r>
            <w:r>
              <w:rPr>
                <w:rFonts w:hint="eastAsia" w:eastAsia="仿宋_GB2312"/>
                <w:color w:val="000000"/>
                <w:kern w:val="0"/>
                <w:sz w:val="24"/>
                <w:lang w:bidi="ar"/>
              </w:rPr>
              <w:t>于企业所得税资产损失资料留存备查有关事项的公告》（国家税务总局公告2018年第15号）</w:t>
            </w:r>
          </w:p>
        </w:tc>
        <w:tc>
          <w:tcPr>
            <w:tcW w:w="477" w:type="pct"/>
            <w:tcBorders>
              <w:top w:val="single" w:color="000000" w:sz="4" w:space="0"/>
              <w:left w:val="single" w:color="000000" w:sz="4" w:space="0"/>
              <w:bottom w:val="single" w:color="000000" w:sz="4" w:space="0"/>
              <w:right w:val="single" w:color="000000" w:sz="4" w:space="0"/>
            </w:tcBorders>
            <w:vAlign w:val="center"/>
          </w:tcPr>
          <w:p w14:paraId="14D124A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CC5F5">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所得税科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D2DD2">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朱洪浩</w:t>
            </w:r>
          </w:p>
          <w:p w14:paraId="205FBA28">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69558139</w:t>
            </w:r>
          </w:p>
        </w:tc>
        <w:tc>
          <w:tcPr>
            <w:tcW w:w="756" w:type="pct"/>
            <w:tcBorders>
              <w:top w:val="single" w:color="000000" w:sz="4" w:space="0"/>
              <w:left w:val="single" w:color="000000" w:sz="4" w:space="0"/>
              <w:bottom w:val="single" w:color="000000" w:sz="4" w:space="0"/>
              <w:right w:val="single" w:color="000000" w:sz="4" w:space="0"/>
            </w:tcBorders>
            <w:vAlign w:val="center"/>
          </w:tcPr>
          <w:p w14:paraId="47D631EC">
            <w:pPr>
              <w:spacing w:line="300" w:lineRule="exact"/>
              <w:rPr>
                <w:rFonts w:ascii="仿宋_GB2312" w:hAnsi="宋体" w:eastAsia="仿宋_GB2312" w:cs="仿宋_GB2312"/>
                <w:color w:val="000000"/>
                <w:sz w:val="24"/>
              </w:rPr>
            </w:pPr>
          </w:p>
        </w:tc>
      </w:tr>
      <w:tr w14:paraId="155E799D">
        <w:tblPrEx>
          <w:tblCellMar>
            <w:top w:w="0" w:type="dxa"/>
            <w:left w:w="108" w:type="dxa"/>
            <w:bottom w:w="0" w:type="dxa"/>
            <w:right w:w="108" w:type="dxa"/>
          </w:tblCellMar>
        </w:tblPrEx>
        <w:trPr>
          <w:cantSplit/>
          <w:trHeight w:val="326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79E1721D">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7</w:t>
            </w:r>
          </w:p>
        </w:tc>
        <w:tc>
          <w:tcPr>
            <w:tcW w:w="269" w:type="pct"/>
            <w:tcBorders>
              <w:top w:val="single" w:color="000000" w:sz="4" w:space="0"/>
              <w:left w:val="single" w:color="000000" w:sz="4" w:space="0"/>
              <w:bottom w:val="single" w:color="000000" w:sz="4" w:space="0"/>
              <w:right w:val="single" w:color="000000" w:sz="4" w:space="0"/>
            </w:tcBorders>
            <w:vAlign w:val="center"/>
          </w:tcPr>
          <w:p w14:paraId="7129CD24">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2186E18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享受资源税优惠事项采取“自行判别、申报享受、相关资料留存备查”的办理方式。纳税人应当根据相关税收规定自行判断是否符合优惠事项规定的条件，符合条件的可以自行计算减免税额，并通过填报资源税纳税申报表享受税收优惠。同时，按照规定归集和留存相关资料备查。</w:t>
            </w:r>
          </w:p>
        </w:tc>
        <w:tc>
          <w:tcPr>
            <w:tcW w:w="545" w:type="pct"/>
            <w:tcBorders>
              <w:top w:val="single" w:color="000000" w:sz="4" w:space="0"/>
              <w:left w:val="single" w:color="000000" w:sz="4" w:space="0"/>
              <w:bottom w:val="single" w:color="000000" w:sz="4" w:space="0"/>
              <w:right w:val="single" w:color="000000" w:sz="4" w:space="0"/>
            </w:tcBorders>
            <w:vAlign w:val="center"/>
          </w:tcPr>
          <w:p w14:paraId="5D4C515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资源税优惠事项</w:t>
            </w:r>
          </w:p>
        </w:tc>
        <w:tc>
          <w:tcPr>
            <w:tcW w:w="759" w:type="pct"/>
            <w:tcBorders>
              <w:top w:val="single" w:color="000000" w:sz="4" w:space="0"/>
              <w:left w:val="single" w:color="000000" w:sz="4" w:space="0"/>
              <w:bottom w:val="single" w:color="000000" w:sz="4" w:space="0"/>
              <w:right w:val="single" w:color="000000" w:sz="4" w:space="0"/>
            </w:tcBorders>
            <w:vAlign w:val="center"/>
          </w:tcPr>
          <w:p w14:paraId="16E1EF6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w:t>
            </w:r>
            <w:r>
              <w:rPr>
                <w:rFonts w:hint="eastAsia" w:eastAsia="仿宋_GB2312"/>
                <w:color w:val="000000"/>
                <w:kern w:val="0"/>
                <w:sz w:val="24"/>
                <w:lang w:bidi="ar"/>
              </w:rPr>
              <w:t>关于资源税征收管理若干问题的公告》（国家税务总局公告2020年第14号）</w:t>
            </w:r>
          </w:p>
        </w:tc>
        <w:tc>
          <w:tcPr>
            <w:tcW w:w="477" w:type="pct"/>
            <w:tcBorders>
              <w:top w:val="single" w:color="000000" w:sz="4" w:space="0"/>
              <w:left w:val="single" w:color="000000" w:sz="4" w:space="0"/>
              <w:bottom w:val="single" w:color="000000" w:sz="4" w:space="0"/>
              <w:right w:val="single" w:color="000000" w:sz="4" w:space="0"/>
            </w:tcBorders>
            <w:vAlign w:val="center"/>
          </w:tcPr>
          <w:p w14:paraId="38D8151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7848D">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28E4">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5A8B1ED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纳税人开采或者生产应税产品过程中，因意外事故或者自然灾害等原因遭受重大损失享受减免税情形除外</w:t>
            </w:r>
          </w:p>
        </w:tc>
      </w:tr>
      <w:tr w14:paraId="1430C8C9">
        <w:tblPrEx>
          <w:tblCellMar>
            <w:top w:w="0" w:type="dxa"/>
            <w:left w:w="108" w:type="dxa"/>
            <w:bottom w:w="0" w:type="dxa"/>
            <w:right w:w="108" w:type="dxa"/>
          </w:tblCellMar>
        </w:tblPrEx>
        <w:trPr>
          <w:cantSplit/>
          <w:trHeight w:val="336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59504A2A">
            <w:pPr>
              <w:widowControl/>
              <w:spacing w:line="300" w:lineRule="exact"/>
              <w:jc w:val="center"/>
              <w:textAlignment w:val="center"/>
              <w:rPr>
                <w:rFonts w:hint="eastAsia" w:eastAsia="仿宋_GB2312"/>
                <w:color w:val="000000"/>
                <w:kern w:val="0"/>
                <w:sz w:val="24"/>
                <w:lang w:eastAsia="zh-CN" w:bidi="ar"/>
              </w:rPr>
            </w:pPr>
            <w:r>
              <w:rPr>
                <w:rFonts w:hint="eastAsia" w:eastAsia="仿宋_GB2312"/>
                <w:color w:val="000000"/>
                <w:kern w:val="0"/>
                <w:sz w:val="24"/>
                <w:lang w:val="en-US" w:eastAsia="zh-CN" w:bidi="ar"/>
              </w:rPr>
              <w:t>8</w:t>
            </w:r>
          </w:p>
        </w:tc>
        <w:tc>
          <w:tcPr>
            <w:tcW w:w="269" w:type="pct"/>
            <w:tcBorders>
              <w:top w:val="single" w:color="000000" w:sz="4" w:space="0"/>
              <w:left w:val="single" w:color="000000" w:sz="4" w:space="0"/>
              <w:bottom w:val="single" w:color="000000" w:sz="4" w:space="0"/>
              <w:right w:val="single" w:color="000000" w:sz="4" w:space="0"/>
            </w:tcBorders>
            <w:vAlign w:val="center"/>
          </w:tcPr>
          <w:p w14:paraId="220E5E46">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526F8E6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人享受环境保护税优惠事项采取“自行判别、申报享受、相关资料留存备查”的办理方式。纳税人应当根据相关税收规定自行判断是否符合优惠事项规定的条件，符合条件的可以自行计算减免税额，并通过填报环境保护税纳税申报表享受税收优惠。同时，按照规定归集和留存相关资料备查。</w:t>
            </w:r>
          </w:p>
        </w:tc>
        <w:tc>
          <w:tcPr>
            <w:tcW w:w="545" w:type="pct"/>
            <w:tcBorders>
              <w:top w:val="single" w:color="000000" w:sz="4" w:space="0"/>
              <w:left w:val="single" w:color="000000" w:sz="4" w:space="0"/>
              <w:bottom w:val="single" w:color="000000" w:sz="4" w:space="0"/>
              <w:right w:val="single" w:color="000000" w:sz="4" w:space="0"/>
            </w:tcBorders>
            <w:vAlign w:val="center"/>
          </w:tcPr>
          <w:p w14:paraId="4AD271E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环境保护税优惠事项</w:t>
            </w:r>
          </w:p>
        </w:tc>
        <w:tc>
          <w:tcPr>
            <w:tcW w:w="759" w:type="pct"/>
            <w:tcBorders>
              <w:top w:val="single" w:color="000000" w:sz="4" w:space="0"/>
              <w:left w:val="single" w:color="000000" w:sz="4" w:space="0"/>
              <w:bottom w:val="single" w:color="000000" w:sz="4" w:space="0"/>
              <w:right w:val="single" w:color="000000" w:sz="4" w:space="0"/>
            </w:tcBorders>
            <w:vAlign w:val="center"/>
          </w:tcPr>
          <w:p w14:paraId="5DA9C2B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《纳税服务规范》</w:t>
            </w:r>
          </w:p>
        </w:tc>
        <w:tc>
          <w:tcPr>
            <w:tcW w:w="477" w:type="pct"/>
            <w:tcBorders>
              <w:top w:val="single" w:color="000000" w:sz="4" w:space="0"/>
              <w:left w:val="single" w:color="000000" w:sz="4" w:space="0"/>
              <w:bottom w:val="single" w:color="000000" w:sz="4" w:space="0"/>
              <w:right w:val="single" w:color="000000" w:sz="4" w:space="0"/>
            </w:tcBorders>
            <w:vAlign w:val="center"/>
          </w:tcPr>
          <w:p w14:paraId="38F4C30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E002">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财行科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6B98">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高雨69119023</w:t>
            </w:r>
          </w:p>
        </w:tc>
        <w:tc>
          <w:tcPr>
            <w:tcW w:w="756" w:type="pct"/>
            <w:tcBorders>
              <w:top w:val="single" w:color="000000" w:sz="4" w:space="0"/>
              <w:left w:val="single" w:color="000000" w:sz="4" w:space="0"/>
              <w:bottom w:val="single" w:color="000000" w:sz="4" w:space="0"/>
              <w:right w:val="single" w:color="000000" w:sz="4" w:space="0"/>
            </w:tcBorders>
            <w:vAlign w:val="center"/>
          </w:tcPr>
          <w:p w14:paraId="003C218D">
            <w:pPr>
              <w:spacing w:line="300" w:lineRule="exact"/>
              <w:rPr>
                <w:rFonts w:ascii="仿宋_GB2312" w:hAnsi="宋体" w:eastAsia="仿宋_GB2312" w:cs="仿宋_GB2312"/>
                <w:color w:val="000000"/>
                <w:sz w:val="24"/>
              </w:rPr>
            </w:pPr>
          </w:p>
        </w:tc>
      </w:tr>
      <w:tr w14:paraId="02A24AE9">
        <w:tblPrEx>
          <w:tblCellMar>
            <w:top w:w="0" w:type="dxa"/>
            <w:left w:w="108" w:type="dxa"/>
            <w:bottom w:w="0" w:type="dxa"/>
            <w:right w:w="108" w:type="dxa"/>
          </w:tblCellMar>
        </w:tblPrEx>
        <w:trPr>
          <w:cantSplit/>
          <w:trHeight w:val="238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0AE1EBC5">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9</w:t>
            </w:r>
          </w:p>
        </w:tc>
        <w:tc>
          <w:tcPr>
            <w:tcW w:w="269" w:type="pct"/>
            <w:tcBorders>
              <w:top w:val="single" w:color="000000" w:sz="4" w:space="0"/>
              <w:left w:val="single" w:color="000000" w:sz="4" w:space="0"/>
              <w:bottom w:val="single" w:color="000000" w:sz="4" w:space="0"/>
              <w:right w:val="single" w:color="000000" w:sz="4" w:space="0"/>
            </w:tcBorders>
            <w:vAlign w:val="center"/>
          </w:tcPr>
          <w:p w14:paraId="550E75BE">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29B69176">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除增值税即征即退的增值税优惠事项，依纳税人申报即可享受相关优惠政策，无需备案。相关资料留存备查。</w:t>
            </w:r>
          </w:p>
        </w:tc>
        <w:tc>
          <w:tcPr>
            <w:tcW w:w="545" w:type="pct"/>
            <w:tcBorders>
              <w:top w:val="single" w:color="000000" w:sz="4" w:space="0"/>
              <w:left w:val="single" w:color="000000" w:sz="4" w:space="0"/>
              <w:bottom w:val="single" w:color="000000" w:sz="4" w:space="0"/>
              <w:right w:val="single" w:color="000000" w:sz="4" w:space="0"/>
            </w:tcBorders>
            <w:vAlign w:val="center"/>
          </w:tcPr>
          <w:p w14:paraId="75875AE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增值税申报享受税收减免</w:t>
            </w:r>
          </w:p>
        </w:tc>
        <w:tc>
          <w:tcPr>
            <w:tcW w:w="759" w:type="pct"/>
            <w:tcBorders>
              <w:top w:val="single" w:color="000000" w:sz="4" w:space="0"/>
              <w:left w:val="single" w:color="000000" w:sz="4" w:space="0"/>
              <w:bottom w:val="single" w:color="000000" w:sz="4" w:space="0"/>
              <w:right w:val="single" w:color="000000" w:sz="4" w:space="0"/>
            </w:tcBorders>
            <w:vAlign w:val="center"/>
          </w:tcPr>
          <w:p w14:paraId="6DF017E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1.《国家税务总局关于进一步优化增值税优惠政策办理程序及服务有关事项的公告》（国家税务总局公告2021年第4号）；</w:t>
            </w:r>
          </w:p>
          <w:p w14:paraId="0801877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2.《办税指南》</w:t>
            </w:r>
          </w:p>
        </w:tc>
        <w:tc>
          <w:tcPr>
            <w:tcW w:w="477" w:type="pct"/>
            <w:tcBorders>
              <w:top w:val="single" w:color="000000" w:sz="4" w:space="0"/>
              <w:left w:val="single" w:color="000000" w:sz="4" w:space="0"/>
              <w:bottom w:val="single" w:color="000000" w:sz="4" w:space="0"/>
              <w:right w:val="single" w:color="000000" w:sz="4" w:space="0"/>
            </w:tcBorders>
            <w:vAlign w:val="center"/>
          </w:tcPr>
          <w:p w14:paraId="2B9EE940">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C95">
            <w:pPr>
              <w:widowControl/>
              <w:spacing w:line="300" w:lineRule="exact"/>
              <w:jc w:val="center"/>
              <w:textAlignment w:val="center"/>
              <w:rPr>
                <w:rFonts w:hint="eastAsia"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6A5C1">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14:paraId="1963E912">
            <w:pPr>
              <w:widowControl/>
              <w:spacing w:line="300" w:lineRule="exact"/>
              <w:jc w:val="center"/>
              <w:textAlignment w:val="center"/>
              <w:rPr>
                <w:rFonts w:hint="default"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14:paraId="270F2135">
            <w:pPr>
              <w:spacing w:line="300" w:lineRule="exact"/>
              <w:rPr>
                <w:rFonts w:ascii="仿宋_GB2312" w:hAnsi="宋体" w:eastAsia="仿宋_GB2312" w:cs="仿宋_GB2312"/>
                <w:color w:val="000000"/>
                <w:sz w:val="24"/>
              </w:rPr>
            </w:pPr>
          </w:p>
        </w:tc>
      </w:tr>
      <w:tr w14:paraId="7CE7BA14">
        <w:tblPrEx>
          <w:tblCellMar>
            <w:top w:w="0" w:type="dxa"/>
            <w:left w:w="108" w:type="dxa"/>
            <w:bottom w:w="0" w:type="dxa"/>
            <w:right w:w="108" w:type="dxa"/>
          </w:tblCellMar>
        </w:tblPrEx>
        <w:trPr>
          <w:cantSplit/>
          <w:trHeight w:val="248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590BDAC7">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vAlign w:val="center"/>
          </w:tcPr>
          <w:p w14:paraId="4837ABED">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408439E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对购置日</w:t>
            </w:r>
            <w:r>
              <w:rPr>
                <w:rFonts w:hint="eastAsia" w:eastAsia="仿宋_GB2312"/>
                <w:color w:val="000000"/>
                <w:kern w:val="0"/>
                <w:sz w:val="24"/>
                <w:lang w:bidi="ar"/>
              </w:rPr>
              <w:t>期在2023年1月1日至2023年12月31日期间内的新能源汽车，免征车辆购置税。</w:t>
            </w:r>
          </w:p>
        </w:tc>
        <w:tc>
          <w:tcPr>
            <w:tcW w:w="545" w:type="pct"/>
            <w:tcBorders>
              <w:top w:val="single" w:color="000000" w:sz="4" w:space="0"/>
              <w:left w:val="single" w:color="000000" w:sz="4" w:space="0"/>
              <w:bottom w:val="single" w:color="000000" w:sz="4" w:space="0"/>
              <w:right w:val="single" w:color="000000" w:sz="4" w:space="0"/>
            </w:tcBorders>
            <w:vAlign w:val="center"/>
          </w:tcPr>
          <w:p w14:paraId="22DD7151">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车辆购置税免、减税</w:t>
            </w:r>
          </w:p>
        </w:tc>
        <w:tc>
          <w:tcPr>
            <w:tcW w:w="759" w:type="pct"/>
            <w:tcBorders>
              <w:top w:val="single" w:color="000000" w:sz="4" w:space="0"/>
              <w:left w:val="single" w:color="000000" w:sz="4" w:space="0"/>
              <w:bottom w:val="single" w:color="000000" w:sz="4" w:space="0"/>
              <w:right w:val="single" w:color="000000" w:sz="4" w:space="0"/>
            </w:tcBorders>
            <w:vAlign w:val="center"/>
          </w:tcPr>
          <w:p w14:paraId="6A80DE9F">
            <w:pPr>
              <w:widowControl/>
              <w:spacing w:line="300" w:lineRule="exact"/>
              <w:textAlignment w:val="center"/>
              <w:rPr>
                <w:rFonts w:eastAsia="仿宋_GB2312"/>
                <w:color w:val="000000"/>
                <w:kern w:val="0"/>
                <w:sz w:val="24"/>
                <w:lang w:bidi="ar"/>
              </w:rPr>
            </w:pPr>
            <w:r>
              <w:rPr>
                <w:rFonts w:eastAsia="仿宋_GB2312"/>
                <w:color w:val="000000"/>
                <w:kern w:val="0"/>
                <w:sz w:val="24"/>
                <w:lang w:bidi="ar"/>
              </w:rPr>
              <w:t>《财政部税务总局工业和信息化部关于延续新能源汽车免征车辆购置税政策的公告》（财政部税务总局工业和信息化部公告2022年第27号）</w:t>
            </w:r>
          </w:p>
        </w:tc>
        <w:tc>
          <w:tcPr>
            <w:tcW w:w="477" w:type="pct"/>
            <w:tcBorders>
              <w:top w:val="single" w:color="000000" w:sz="4" w:space="0"/>
              <w:left w:val="single" w:color="000000" w:sz="4" w:space="0"/>
              <w:bottom w:val="single" w:color="000000" w:sz="4" w:space="0"/>
              <w:right w:val="single" w:color="000000" w:sz="4" w:space="0"/>
            </w:tcBorders>
            <w:vAlign w:val="center"/>
          </w:tcPr>
          <w:p w14:paraId="659D4C19">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138E">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8155C">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14:paraId="3B04CDC8">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14:paraId="0B4E7C38">
            <w:pPr>
              <w:spacing w:line="300" w:lineRule="exact"/>
              <w:rPr>
                <w:rFonts w:ascii="仿宋_GB2312" w:hAnsi="宋体" w:eastAsia="仿宋_GB2312" w:cs="仿宋_GB2312"/>
                <w:color w:val="000000"/>
                <w:sz w:val="24"/>
              </w:rPr>
            </w:pPr>
          </w:p>
        </w:tc>
      </w:tr>
      <w:tr w14:paraId="5ED77D5A">
        <w:tblPrEx>
          <w:tblCellMar>
            <w:top w:w="0" w:type="dxa"/>
            <w:left w:w="108" w:type="dxa"/>
            <w:bottom w:w="0" w:type="dxa"/>
            <w:right w:w="108" w:type="dxa"/>
          </w:tblCellMar>
        </w:tblPrEx>
        <w:trPr>
          <w:cantSplit/>
          <w:trHeight w:val="210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4E111C0F">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11</w:t>
            </w:r>
          </w:p>
        </w:tc>
        <w:tc>
          <w:tcPr>
            <w:tcW w:w="269" w:type="pct"/>
            <w:tcBorders>
              <w:top w:val="single" w:color="000000" w:sz="4" w:space="0"/>
              <w:left w:val="single" w:color="000000" w:sz="4" w:space="0"/>
              <w:bottom w:val="single" w:color="000000" w:sz="4" w:space="0"/>
              <w:right w:val="single" w:color="000000" w:sz="4" w:space="0"/>
            </w:tcBorders>
            <w:vAlign w:val="center"/>
          </w:tcPr>
          <w:p w14:paraId="6D52A90E">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0FE2F866">
            <w:pPr>
              <w:widowControl/>
              <w:spacing w:line="300" w:lineRule="exact"/>
              <w:textAlignment w:val="center"/>
              <w:rPr>
                <w:rFonts w:ascii="仿宋_GB2312" w:hAnsi="宋体" w:eastAsia="仿宋_GB2312" w:cs="仿宋_GB2312"/>
                <w:color w:val="000000"/>
                <w:sz w:val="24"/>
              </w:rPr>
            </w:pPr>
            <w:r>
              <w:rPr>
                <w:rFonts w:hint="eastAsia" w:eastAsia="仿宋_GB2312"/>
                <w:color w:val="000000"/>
                <w:kern w:val="0"/>
                <w:sz w:val="24"/>
                <w:lang w:bidi="ar"/>
              </w:rPr>
              <w:t>2018年7月1日至2027年12月31日，对购置的挂车减半征收车辆购置税。</w:t>
            </w:r>
          </w:p>
        </w:tc>
        <w:tc>
          <w:tcPr>
            <w:tcW w:w="545" w:type="pct"/>
            <w:tcBorders>
              <w:top w:val="single" w:color="000000" w:sz="4" w:space="0"/>
              <w:left w:val="single" w:color="000000" w:sz="4" w:space="0"/>
              <w:bottom w:val="single" w:color="000000" w:sz="4" w:space="0"/>
              <w:right w:val="single" w:color="000000" w:sz="4" w:space="0"/>
            </w:tcBorders>
            <w:vAlign w:val="center"/>
          </w:tcPr>
          <w:p w14:paraId="68529141">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车辆购置税免、减税</w:t>
            </w:r>
          </w:p>
        </w:tc>
        <w:tc>
          <w:tcPr>
            <w:tcW w:w="759" w:type="pct"/>
            <w:tcBorders>
              <w:top w:val="single" w:color="000000" w:sz="4" w:space="0"/>
              <w:left w:val="single" w:color="000000" w:sz="4" w:space="0"/>
              <w:bottom w:val="single" w:color="000000" w:sz="4" w:space="0"/>
              <w:right w:val="single" w:color="000000" w:sz="4" w:space="0"/>
            </w:tcBorders>
            <w:vAlign w:val="center"/>
          </w:tcPr>
          <w:p w14:paraId="7A2CF72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《财政部税务总局工业和信息化部关于继续对挂车</w:t>
            </w:r>
            <w:r>
              <w:rPr>
                <w:rFonts w:hint="eastAsia" w:eastAsia="仿宋_GB2312"/>
                <w:color w:val="000000"/>
                <w:kern w:val="0"/>
                <w:sz w:val="24"/>
                <w:lang w:bidi="ar"/>
              </w:rPr>
              <w:t>减征车辆购置税的公告》（财政部税务总局工业和信息化部公告2023年第47号）</w:t>
            </w:r>
          </w:p>
        </w:tc>
        <w:tc>
          <w:tcPr>
            <w:tcW w:w="477" w:type="pct"/>
            <w:tcBorders>
              <w:top w:val="single" w:color="000000" w:sz="4" w:space="0"/>
              <w:left w:val="single" w:color="000000" w:sz="4" w:space="0"/>
              <w:bottom w:val="single" w:color="000000" w:sz="4" w:space="0"/>
              <w:right w:val="single" w:color="000000" w:sz="4" w:space="0"/>
            </w:tcBorders>
            <w:vAlign w:val="center"/>
          </w:tcPr>
          <w:p w14:paraId="6818E3B3">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1397A">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2480">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14:paraId="16519D6D">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14:paraId="23AAF7E0">
            <w:pPr>
              <w:spacing w:line="300" w:lineRule="exact"/>
              <w:rPr>
                <w:rFonts w:ascii="仿宋_GB2312" w:hAnsi="宋体" w:eastAsia="仿宋_GB2312" w:cs="仿宋_GB2312"/>
                <w:color w:val="000000"/>
                <w:sz w:val="24"/>
              </w:rPr>
            </w:pPr>
          </w:p>
        </w:tc>
      </w:tr>
      <w:tr w14:paraId="50BD4526">
        <w:tblPrEx>
          <w:tblCellMar>
            <w:top w:w="0" w:type="dxa"/>
            <w:left w:w="108" w:type="dxa"/>
            <w:bottom w:w="0" w:type="dxa"/>
            <w:right w:w="108" w:type="dxa"/>
          </w:tblCellMar>
        </w:tblPrEx>
        <w:trPr>
          <w:cantSplit/>
          <w:trHeight w:val="184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7235D16C">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12</w:t>
            </w:r>
          </w:p>
        </w:tc>
        <w:tc>
          <w:tcPr>
            <w:tcW w:w="269" w:type="pct"/>
            <w:tcBorders>
              <w:top w:val="single" w:color="000000" w:sz="4" w:space="0"/>
              <w:left w:val="single" w:color="000000" w:sz="4" w:space="0"/>
              <w:bottom w:val="single" w:color="000000" w:sz="4" w:space="0"/>
              <w:right w:val="single" w:color="000000" w:sz="4" w:space="0"/>
            </w:tcBorders>
            <w:vAlign w:val="center"/>
          </w:tcPr>
          <w:p w14:paraId="56708982">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78B72B5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设有固定装置的非运输专用作业车辆免征车辆购置税。</w:t>
            </w:r>
          </w:p>
        </w:tc>
        <w:tc>
          <w:tcPr>
            <w:tcW w:w="545" w:type="pct"/>
            <w:tcBorders>
              <w:top w:val="single" w:color="000000" w:sz="4" w:space="0"/>
              <w:left w:val="single" w:color="000000" w:sz="4" w:space="0"/>
              <w:bottom w:val="single" w:color="000000" w:sz="4" w:space="0"/>
              <w:right w:val="single" w:color="000000" w:sz="4" w:space="0"/>
            </w:tcBorders>
            <w:vAlign w:val="center"/>
          </w:tcPr>
          <w:p w14:paraId="4688D43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车辆购置税免、减税</w:t>
            </w:r>
          </w:p>
        </w:tc>
        <w:tc>
          <w:tcPr>
            <w:tcW w:w="759" w:type="pct"/>
            <w:tcBorders>
              <w:top w:val="single" w:color="000000" w:sz="4" w:space="0"/>
              <w:left w:val="single" w:color="000000" w:sz="4" w:space="0"/>
              <w:bottom w:val="single" w:color="000000" w:sz="4" w:space="0"/>
              <w:right w:val="single" w:color="000000" w:sz="4" w:space="0"/>
            </w:tcBorders>
            <w:vAlign w:val="center"/>
          </w:tcPr>
          <w:p w14:paraId="6DBBF4F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《关于设有固定装置的非运输专用作业车辆免征</w:t>
            </w:r>
            <w:r>
              <w:rPr>
                <w:rFonts w:hint="eastAsia" w:eastAsia="仿宋_GB2312"/>
                <w:color w:val="000000"/>
                <w:kern w:val="0"/>
                <w:sz w:val="24"/>
                <w:lang w:bidi="ar"/>
              </w:rPr>
              <w:t>车辆购置税有关政策的公告》（财政部2020年第35号</w:t>
            </w:r>
            <w:r>
              <w:rPr>
                <w:rFonts w:hint="eastAsia" w:ascii="仿宋_GB2312" w:hAnsi="宋体" w:eastAsia="仿宋_GB2312" w:cs="仿宋_GB2312"/>
                <w:color w:val="000000"/>
                <w:kern w:val="0"/>
                <w:sz w:val="24"/>
                <w:lang w:bidi="ar"/>
              </w:rPr>
              <w:t>）</w:t>
            </w:r>
          </w:p>
        </w:tc>
        <w:tc>
          <w:tcPr>
            <w:tcW w:w="477" w:type="pct"/>
            <w:tcBorders>
              <w:top w:val="single" w:color="000000" w:sz="4" w:space="0"/>
              <w:left w:val="single" w:color="000000" w:sz="4" w:space="0"/>
              <w:bottom w:val="single" w:color="000000" w:sz="4" w:space="0"/>
              <w:right w:val="single" w:color="000000" w:sz="4" w:space="0"/>
            </w:tcBorders>
            <w:vAlign w:val="center"/>
          </w:tcPr>
          <w:p w14:paraId="65ACBB3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FA8A">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4AB2">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14:paraId="1E61D70C">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14:paraId="1105B8F2">
            <w:pPr>
              <w:spacing w:line="300" w:lineRule="exact"/>
              <w:rPr>
                <w:rFonts w:ascii="仿宋_GB2312" w:hAnsi="宋体" w:eastAsia="仿宋_GB2312" w:cs="仿宋_GB2312"/>
                <w:color w:val="000000"/>
                <w:sz w:val="24"/>
              </w:rPr>
            </w:pPr>
          </w:p>
        </w:tc>
      </w:tr>
      <w:tr w14:paraId="2712BD38">
        <w:tblPrEx>
          <w:tblCellMar>
            <w:top w:w="0" w:type="dxa"/>
            <w:left w:w="108" w:type="dxa"/>
            <w:bottom w:w="0" w:type="dxa"/>
            <w:right w:w="108" w:type="dxa"/>
          </w:tblCellMar>
        </w:tblPrEx>
        <w:trPr>
          <w:cantSplit/>
          <w:trHeight w:val="262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3BB8F967">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13</w:t>
            </w:r>
          </w:p>
        </w:tc>
        <w:tc>
          <w:tcPr>
            <w:tcW w:w="269" w:type="pct"/>
            <w:tcBorders>
              <w:top w:val="single" w:color="000000" w:sz="4" w:space="0"/>
              <w:left w:val="single" w:color="000000" w:sz="4" w:space="0"/>
              <w:bottom w:val="single" w:color="000000" w:sz="4" w:space="0"/>
              <w:right w:val="single" w:color="000000" w:sz="4" w:space="0"/>
            </w:tcBorders>
            <w:vAlign w:val="center"/>
          </w:tcPr>
          <w:p w14:paraId="08A33354">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75212C08">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p>
        </w:tc>
        <w:tc>
          <w:tcPr>
            <w:tcW w:w="545" w:type="pct"/>
            <w:tcBorders>
              <w:top w:val="single" w:color="000000" w:sz="4" w:space="0"/>
              <w:left w:val="single" w:color="000000" w:sz="4" w:space="0"/>
              <w:bottom w:val="single" w:color="000000" w:sz="4" w:space="0"/>
              <w:right w:val="single" w:color="000000" w:sz="4" w:space="0"/>
            </w:tcBorders>
            <w:vAlign w:val="center"/>
          </w:tcPr>
          <w:p w14:paraId="19918F9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车辆购置税免、减税</w:t>
            </w:r>
          </w:p>
        </w:tc>
        <w:tc>
          <w:tcPr>
            <w:tcW w:w="759" w:type="pct"/>
            <w:tcBorders>
              <w:top w:val="single" w:color="000000" w:sz="4" w:space="0"/>
              <w:left w:val="single" w:color="000000" w:sz="4" w:space="0"/>
              <w:bottom w:val="single" w:color="000000" w:sz="4" w:space="0"/>
              <w:right w:val="single" w:color="000000" w:sz="4" w:space="0"/>
            </w:tcBorders>
            <w:vAlign w:val="center"/>
          </w:tcPr>
          <w:p w14:paraId="3D5D617F">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《关于延续和优化新能源汽车车</w:t>
            </w:r>
            <w:r>
              <w:rPr>
                <w:rFonts w:hint="eastAsia" w:eastAsia="仿宋_GB2312"/>
                <w:color w:val="000000"/>
                <w:kern w:val="0"/>
                <w:sz w:val="24"/>
                <w:lang w:bidi="ar"/>
              </w:rPr>
              <w:t>辆购置税减免政策的公告》（财政部税务总局工业和信息化部公告2023年第10号）</w:t>
            </w:r>
          </w:p>
        </w:tc>
        <w:tc>
          <w:tcPr>
            <w:tcW w:w="477" w:type="pct"/>
            <w:tcBorders>
              <w:top w:val="single" w:color="000000" w:sz="4" w:space="0"/>
              <w:left w:val="single" w:color="000000" w:sz="4" w:space="0"/>
              <w:bottom w:val="single" w:color="000000" w:sz="4" w:space="0"/>
              <w:right w:val="single" w:color="000000" w:sz="4" w:space="0"/>
            </w:tcBorders>
            <w:vAlign w:val="center"/>
          </w:tcPr>
          <w:p w14:paraId="2F8E4C0A">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94866">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货劳科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79CF4">
            <w:pPr>
              <w:widowControl/>
              <w:spacing w:line="300" w:lineRule="exact"/>
              <w:jc w:val="center"/>
              <w:textAlignment w:val="center"/>
              <w:rPr>
                <w:rFonts w:hint="eastAsia" w:eastAsia="仿宋_GB2312"/>
                <w:color w:val="000000"/>
                <w:kern w:val="0"/>
                <w:sz w:val="24"/>
                <w:highlight w:val="none"/>
                <w:lang w:eastAsia="zh-CN" w:bidi="ar"/>
              </w:rPr>
            </w:pPr>
            <w:r>
              <w:rPr>
                <w:rFonts w:hint="eastAsia" w:eastAsia="仿宋_GB2312"/>
                <w:color w:val="000000"/>
                <w:kern w:val="0"/>
                <w:sz w:val="24"/>
                <w:highlight w:val="none"/>
                <w:lang w:eastAsia="zh-CN" w:bidi="ar"/>
              </w:rPr>
              <w:t>刘倩</w:t>
            </w:r>
          </w:p>
          <w:p w14:paraId="1C5011F0">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69591778</w:t>
            </w:r>
          </w:p>
        </w:tc>
        <w:tc>
          <w:tcPr>
            <w:tcW w:w="756" w:type="pct"/>
            <w:tcBorders>
              <w:top w:val="single" w:color="000000" w:sz="4" w:space="0"/>
              <w:left w:val="single" w:color="000000" w:sz="4" w:space="0"/>
              <w:bottom w:val="single" w:color="000000" w:sz="4" w:space="0"/>
              <w:right w:val="single" w:color="000000" w:sz="4" w:space="0"/>
            </w:tcBorders>
            <w:vAlign w:val="center"/>
          </w:tcPr>
          <w:p w14:paraId="5814CF47">
            <w:pPr>
              <w:spacing w:line="300" w:lineRule="exact"/>
              <w:rPr>
                <w:rFonts w:ascii="仿宋_GB2312" w:hAnsi="宋体" w:eastAsia="仿宋_GB2312" w:cs="仿宋_GB2312"/>
                <w:color w:val="000000"/>
                <w:sz w:val="24"/>
              </w:rPr>
            </w:pPr>
          </w:p>
        </w:tc>
      </w:tr>
      <w:tr w14:paraId="1A94245B">
        <w:tblPrEx>
          <w:tblCellMar>
            <w:top w:w="0" w:type="dxa"/>
            <w:left w:w="108" w:type="dxa"/>
            <w:bottom w:w="0" w:type="dxa"/>
            <w:right w:w="108" w:type="dxa"/>
          </w:tblCellMar>
        </w:tblPrEx>
        <w:trPr>
          <w:cantSplit/>
          <w:trHeight w:val="284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153B84AF">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14</w:t>
            </w:r>
          </w:p>
        </w:tc>
        <w:tc>
          <w:tcPr>
            <w:tcW w:w="269" w:type="pct"/>
            <w:tcBorders>
              <w:top w:val="single" w:color="000000" w:sz="4" w:space="0"/>
              <w:left w:val="single" w:color="000000" w:sz="4" w:space="0"/>
              <w:bottom w:val="single" w:color="000000" w:sz="4" w:space="0"/>
              <w:right w:val="single" w:color="000000" w:sz="4" w:space="0"/>
            </w:tcBorders>
            <w:vAlign w:val="center"/>
          </w:tcPr>
          <w:p w14:paraId="7AA3B14E">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56E68BB0">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自2019年7月1日至2024年12月31日，对归属中央收入的文化事业建设费，按照缴纳义务人应缴费额的50%减征；对归属地方收入的文化事业建设费，按照缴纳义务人应缴费额的50%减征。</w:t>
            </w:r>
          </w:p>
        </w:tc>
        <w:tc>
          <w:tcPr>
            <w:tcW w:w="545" w:type="pct"/>
            <w:tcBorders>
              <w:top w:val="single" w:color="000000" w:sz="4" w:space="0"/>
              <w:left w:val="single" w:color="000000" w:sz="4" w:space="0"/>
              <w:bottom w:val="single" w:color="000000" w:sz="4" w:space="0"/>
              <w:right w:val="single" w:color="000000" w:sz="4" w:space="0"/>
            </w:tcBorders>
            <w:vAlign w:val="center"/>
          </w:tcPr>
          <w:p w14:paraId="32FCD9B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文化事业建设费管理</w:t>
            </w:r>
          </w:p>
        </w:tc>
        <w:tc>
          <w:tcPr>
            <w:tcW w:w="759" w:type="pct"/>
            <w:tcBorders>
              <w:top w:val="single" w:color="000000" w:sz="4" w:space="0"/>
              <w:left w:val="single" w:color="000000" w:sz="4" w:space="0"/>
              <w:bottom w:val="single" w:color="000000" w:sz="4" w:space="0"/>
              <w:right w:val="single" w:color="000000" w:sz="4" w:space="0"/>
            </w:tcBorders>
            <w:vAlign w:val="center"/>
          </w:tcPr>
          <w:p w14:paraId="29CD0C7D">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1.《财政部关于调整部分政府性基金有关政策的通知》（财税〔2019〕46号）</w:t>
            </w:r>
          </w:p>
          <w:p w14:paraId="440BD33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2.《天津市财政局关于转发〈财政部关于调整部分政府性基金有关政策的通知〉的通知》（津财综〔2019〕48号）</w:t>
            </w:r>
          </w:p>
        </w:tc>
        <w:tc>
          <w:tcPr>
            <w:tcW w:w="477" w:type="pct"/>
            <w:tcBorders>
              <w:top w:val="single" w:color="000000" w:sz="4" w:space="0"/>
              <w:left w:val="single" w:color="000000" w:sz="4" w:space="0"/>
              <w:bottom w:val="single" w:color="000000" w:sz="4" w:space="0"/>
              <w:right w:val="single" w:color="000000" w:sz="4" w:space="0"/>
            </w:tcBorders>
            <w:vAlign w:val="center"/>
          </w:tcPr>
          <w:p w14:paraId="75FA4F6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CED2F">
            <w:pPr>
              <w:widowControl/>
              <w:spacing w:line="300" w:lineRule="exact"/>
              <w:jc w:val="both"/>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CCB29">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14:paraId="3F0772A7">
            <w:pPr>
              <w:spacing w:line="300" w:lineRule="exact"/>
              <w:rPr>
                <w:rFonts w:ascii="仿宋_GB2312" w:hAnsi="宋体" w:eastAsia="仿宋_GB2312" w:cs="仿宋_GB2312"/>
                <w:color w:val="000000"/>
                <w:sz w:val="24"/>
              </w:rPr>
            </w:pPr>
          </w:p>
        </w:tc>
      </w:tr>
      <w:tr w14:paraId="38CF0595">
        <w:tblPrEx>
          <w:tblCellMar>
            <w:top w:w="0" w:type="dxa"/>
            <w:left w:w="108" w:type="dxa"/>
            <w:bottom w:w="0" w:type="dxa"/>
            <w:right w:w="108" w:type="dxa"/>
          </w:tblCellMar>
        </w:tblPrEx>
        <w:trPr>
          <w:cantSplit/>
          <w:trHeight w:val="210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73221A61">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15</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6626CB48">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17E2F8C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缴费人享受地方教育附加和残疾人就业保障金优惠实行“自行判别、申报享受、有关资料留存备查”办理方式，申报时无须再向税务机关提供有关资料。缴费人根据具体政策规定自行判断是否符合优惠条件，符合条件的，缴费人申报享受减免优惠，并将有关资料留存备查。</w:t>
            </w:r>
          </w:p>
        </w:tc>
        <w:tc>
          <w:tcPr>
            <w:tcW w:w="545" w:type="pct"/>
            <w:tcBorders>
              <w:top w:val="single" w:color="000000" w:sz="4" w:space="0"/>
              <w:left w:val="single" w:color="000000" w:sz="4" w:space="0"/>
              <w:bottom w:val="single" w:color="000000" w:sz="4" w:space="0"/>
              <w:right w:val="single" w:color="000000" w:sz="4" w:space="0"/>
            </w:tcBorders>
            <w:vAlign w:val="center"/>
          </w:tcPr>
          <w:p w14:paraId="17B4F9D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残疾人就业保障金征收管理</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47987F0B">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《关于地方教育附加和残疾人就业保障金优惠事项资料留存备查的公告》（国家税务总局天津市税务局公告2019年第14号）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1F0D2BDB">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9FD8">
            <w:pPr>
              <w:widowControl/>
              <w:spacing w:line="300" w:lineRule="exact"/>
              <w:jc w:val="center"/>
              <w:textAlignment w:val="center"/>
              <w:rPr>
                <w:rFonts w:ascii="Times New Roman" w:hAnsi="Times New Roman" w:eastAsia="仿宋_GB2312" w:cs="Times New Roman"/>
                <w:b/>
                <w:bCs/>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8ECD">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14:paraId="1D4D8121">
            <w:pPr>
              <w:spacing w:line="300" w:lineRule="exact"/>
              <w:rPr>
                <w:rFonts w:ascii="仿宋_GB2312" w:hAnsi="宋体" w:eastAsia="仿宋_GB2312" w:cs="仿宋_GB2312"/>
                <w:color w:val="000000"/>
                <w:sz w:val="24"/>
              </w:rPr>
            </w:pPr>
          </w:p>
        </w:tc>
      </w:tr>
      <w:tr w14:paraId="0C825591">
        <w:tblPrEx>
          <w:tblCellMar>
            <w:top w:w="0" w:type="dxa"/>
            <w:left w:w="108" w:type="dxa"/>
            <w:bottom w:w="0" w:type="dxa"/>
            <w:right w:w="108" w:type="dxa"/>
          </w:tblCellMar>
        </w:tblPrEx>
        <w:trPr>
          <w:cantSplit/>
          <w:trHeight w:val="180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6E1799D1">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658FD062">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4E9E8E6E">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71E54D94">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地方教育附加征收管理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0711651F">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098D6B83">
            <w:pPr>
              <w:spacing w:line="300" w:lineRule="exact"/>
              <w:rPr>
                <w:rFonts w:ascii="仿宋_GB2312" w:hAnsi="宋体" w:eastAsia="仿宋_GB2312" w:cs="仿宋_GB2312"/>
                <w:color w:val="000000"/>
                <w:sz w:val="24"/>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64F28">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7F5B3">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14:paraId="4B4F3DF0">
            <w:pPr>
              <w:spacing w:line="300" w:lineRule="exact"/>
              <w:rPr>
                <w:rFonts w:ascii="仿宋_GB2312" w:hAnsi="宋体" w:eastAsia="仿宋_GB2312" w:cs="仿宋_GB2312"/>
                <w:color w:val="000000"/>
                <w:sz w:val="24"/>
              </w:rPr>
            </w:pPr>
          </w:p>
        </w:tc>
      </w:tr>
      <w:tr w14:paraId="523234E6">
        <w:tblPrEx>
          <w:tblCellMar>
            <w:top w:w="0" w:type="dxa"/>
            <w:left w:w="108" w:type="dxa"/>
            <w:bottom w:w="0" w:type="dxa"/>
            <w:right w:w="108" w:type="dxa"/>
          </w:tblCellMar>
        </w:tblPrEx>
        <w:trPr>
          <w:cantSplit/>
          <w:trHeight w:val="320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75DD9410">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16</w:t>
            </w:r>
          </w:p>
        </w:tc>
        <w:tc>
          <w:tcPr>
            <w:tcW w:w="269" w:type="pct"/>
            <w:tcBorders>
              <w:top w:val="single" w:color="000000" w:sz="4" w:space="0"/>
              <w:left w:val="single" w:color="000000" w:sz="4" w:space="0"/>
              <w:bottom w:val="single" w:color="000000" w:sz="4" w:space="0"/>
              <w:right w:val="single" w:color="000000" w:sz="4" w:space="0"/>
            </w:tcBorders>
            <w:vAlign w:val="center"/>
          </w:tcPr>
          <w:p w14:paraId="04930C22">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44C69A6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自2023年1月1日起至2027年12月31日，延续实施残疾人就业保障金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tc>
        <w:tc>
          <w:tcPr>
            <w:tcW w:w="545" w:type="pct"/>
            <w:tcBorders>
              <w:top w:val="single" w:color="000000" w:sz="4" w:space="0"/>
              <w:left w:val="single" w:color="000000" w:sz="4" w:space="0"/>
              <w:bottom w:val="single" w:color="000000" w:sz="4" w:space="0"/>
              <w:right w:val="single" w:color="000000" w:sz="4" w:space="0"/>
            </w:tcBorders>
            <w:vAlign w:val="center"/>
          </w:tcPr>
          <w:p w14:paraId="61B7E8AC">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残疾人就业保障金征收管理</w:t>
            </w:r>
          </w:p>
        </w:tc>
        <w:tc>
          <w:tcPr>
            <w:tcW w:w="759" w:type="pct"/>
            <w:tcBorders>
              <w:top w:val="single" w:color="000000" w:sz="4" w:space="0"/>
              <w:left w:val="single" w:color="000000" w:sz="4" w:space="0"/>
              <w:bottom w:val="single" w:color="000000" w:sz="4" w:space="0"/>
              <w:right w:val="single" w:color="000000" w:sz="4" w:space="0"/>
            </w:tcBorders>
            <w:vAlign w:val="center"/>
          </w:tcPr>
          <w:p w14:paraId="59F042C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《天津市财政局国家税务总局天津市税务局天津市残疾人联合会关于转发〈财政部关于延续实施残疾人就业保障金优惠政策的公告〉的通知》（津财综〔2023〕20号）</w:t>
            </w:r>
          </w:p>
        </w:tc>
        <w:tc>
          <w:tcPr>
            <w:tcW w:w="477" w:type="pct"/>
            <w:tcBorders>
              <w:top w:val="single" w:color="000000" w:sz="4" w:space="0"/>
              <w:left w:val="single" w:color="000000" w:sz="4" w:space="0"/>
              <w:bottom w:val="single" w:color="000000" w:sz="4" w:space="0"/>
              <w:right w:val="single" w:color="000000" w:sz="4" w:space="0"/>
            </w:tcBorders>
            <w:vAlign w:val="center"/>
          </w:tcPr>
          <w:p w14:paraId="7D03E6F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BA738">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0464A">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14:paraId="40AAA1E6">
            <w:pPr>
              <w:spacing w:line="300" w:lineRule="exact"/>
              <w:rPr>
                <w:rFonts w:ascii="仿宋_GB2312" w:hAnsi="宋体" w:eastAsia="仿宋_GB2312" w:cs="仿宋_GB2312"/>
                <w:color w:val="000000"/>
                <w:sz w:val="24"/>
              </w:rPr>
            </w:pPr>
          </w:p>
        </w:tc>
      </w:tr>
      <w:tr w14:paraId="334C048E">
        <w:tblPrEx>
          <w:tblCellMar>
            <w:top w:w="0" w:type="dxa"/>
            <w:left w:w="108" w:type="dxa"/>
            <w:bottom w:w="0" w:type="dxa"/>
            <w:right w:w="108" w:type="dxa"/>
          </w:tblCellMar>
        </w:tblPrEx>
        <w:trPr>
          <w:cantSplit/>
          <w:trHeight w:val="232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32747E46">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17</w:t>
            </w:r>
          </w:p>
        </w:tc>
        <w:tc>
          <w:tcPr>
            <w:tcW w:w="269" w:type="pct"/>
            <w:tcBorders>
              <w:top w:val="single" w:color="000000" w:sz="4" w:space="0"/>
              <w:left w:val="single" w:color="000000" w:sz="4" w:space="0"/>
              <w:bottom w:val="single" w:color="000000" w:sz="4" w:space="0"/>
              <w:right w:val="single" w:color="000000" w:sz="4" w:space="0"/>
            </w:tcBorders>
            <w:vAlign w:val="center"/>
          </w:tcPr>
          <w:p w14:paraId="7FD468DB">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1F3AA916">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从2021年起，用人单位缴纳的上年度残保金征收标准上限按照我市社会平均工资的2倍执行。</w:t>
            </w:r>
          </w:p>
        </w:tc>
        <w:tc>
          <w:tcPr>
            <w:tcW w:w="545" w:type="pct"/>
            <w:tcBorders>
              <w:top w:val="single" w:color="000000" w:sz="4" w:space="0"/>
              <w:left w:val="single" w:color="000000" w:sz="4" w:space="0"/>
              <w:bottom w:val="single" w:color="000000" w:sz="4" w:space="0"/>
              <w:right w:val="single" w:color="000000" w:sz="4" w:space="0"/>
            </w:tcBorders>
            <w:vAlign w:val="center"/>
          </w:tcPr>
          <w:p w14:paraId="6D1B696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残疾人就业保障金征收管理</w:t>
            </w:r>
          </w:p>
        </w:tc>
        <w:tc>
          <w:tcPr>
            <w:tcW w:w="759" w:type="pct"/>
            <w:tcBorders>
              <w:top w:val="single" w:color="000000" w:sz="4" w:space="0"/>
              <w:left w:val="single" w:color="000000" w:sz="4" w:space="0"/>
              <w:bottom w:val="single" w:color="000000" w:sz="4" w:space="0"/>
              <w:right w:val="single" w:color="000000" w:sz="4" w:space="0"/>
            </w:tcBorders>
            <w:vAlign w:val="center"/>
          </w:tcPr>
          <w:p w14:paraId="0BBF9313">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《关于印发〈天津市落实《关于完善残疾人就业保障金制度更好促进残疾人就业的总体方案》具体措施〉的通知》（津财社〔2020〕41号）</w:t>
            </w:r>
          </w:p>
        </w:tc>
        <w:tc>
          <w:tcPr>
            <w:tcW w:w="477" w:type="pct"/>
            <w:tcBorders>
              <w:top w:val="single" w:color="000000" w:sz="4" w:space="0"/>
              <w:left w:val="single" w:color="000000" w:sz="4" w:space="0"/>
              <w:bottom w:val="single" w:color="000000" w:sz="4" w:space="0"/>
              <w:right w:val="single" w:color="000000" w:sz="4" w:space="0"/>
            </w:tcBorders>
            <w:vAlign w:val="center"/>
          </w:tcPr>
          <w:p w14:paraId="11B19538">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6DB3">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F10F">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tcBorders>
              <w:top w:val="single" w:color="000000" w:sz="4" w:space="0"/>
              <w:left w:val="single" w:color="000000" w:sz="4" w:space="0"/>
              <w:bottom w:val="single" w:color="000000" w:sz="4" w:space="0"/>
              <w:right w:val="single" w:color="000000" w:sz="4" w:space="0"/>
            </w:tcBorders>
            <w:vAlign w:val="center"/>
          </w:tcPr>
          <w:p w14:paraId="3EEB6CD8">
            <w:pPr>
              <w:spacing w:line="300" w:lineRule="exact"/>
              <w:rPr>
                <w:rFonts w:ascii="仿宋_GB2312" w:hAnsi="宋体" w:eastAsia="仿宋_GB2312" w:cs="仿宋_GB2312"/>
                <w:color w:val="000000"/>
                <w:sz w:val="24"/>
              </w:rPr>
            </w:pPr>
          </w:p>
        </w:tc>
      </w:tr>
      <w:tr w14:paraId="56F6E149">
        <w:tblPrEx>
          <w:tblCellMar>
            <w:top w:w="0" w:type="dxa"/>
            <w:left w:w="108" w:type="dxa"/>
            <w:bottom w:w="0" w:type="dxa"/>
            <w:right w:w="108" w:type="dxa"/>
          </w:tblCellMar>
        </w:tblPrEx>
        <w:trPr>
          <w:cantSplit/>
          <w:trHeight w:val="1900" w:hRule="atLeast"/>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46A88E91">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18</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0D58F9AA">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天津市税务局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1D6637D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纳入产教融合型企业建设培育范围的试点企业申报教育费附加、地方教育附加时，2019年1月1日起形成的可抵免投资额，可按照《财政部关于调整部分政府性基金有关政策的通知》（财税〔2019〕46号）的规定办理抵免，相关资料由企业留存备查。</w:t>
            </w:r>
          </w:p>
        </w:tc>
        <w:tc>
          <w:tcPr>
            <w:tcW w:w="545" w:type="pct"/>
            <w:tcBorders>
              <w:top w:val="single" w:color="000000" w:sz="4" w:space="0"/>
              <w:left w:val="single" w:color="000000" w:sz="4" w:space="0"/>
              <w:bottom w:val="single" w:color="000000" w:sz="4" w:space="0"/>
              <w:right w:val="single" w:color="000000" w:sz="4" w:space="0"/>
            </w:tcBorders>
            <w:vAlign w:val="center"/>
          </w:tcPr>
          <w:p w14:paraId="2327E5C0">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教育费附加征收管理</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094D985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《关于调整部分政府性基金有关征管事项的公告》（国家税务总局公告2019年第24号）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7F4A4187">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区税务局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14:paraId="0F8891B6">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eastAsia="zh-CN" w:bidi="ar"/>
              </w:rPr>
              <w:t>社保非税科</w:t>
            </w:r>
          </w:p>
        </w:tc>
        <w:tc>
          <w:tcPr>
            <w:tcW w:w="388" w:type="pct"/>
            <w:vMerge w:val="restart"/>
            <w:tcBorders>
              <w:top w:val="single" w:color="000000" w:sz="4" w:space="0"/>
              <w:left w:val="single" w:color="000000" w:sz="4" w:space="0"/>
              <w:right w:val="single" w:color="000000" w:sz="4" w:space="0"/>
            </w:tcBorders>
            <w:shd w:val="clear" w:color="auto" w:fill="auto"/>
            <w:vAlign w:val="center"/>
          </w:tcPr>
          <w:p w14:paraId="53639B65">
            <w:pPr>
              <w:widowControl/>
              <w:spacing w:line="300" w:lineRule="exact"/>
              <w:jc w:val="center"/>
              <w:textAlignment w:val="center"/>
              <w:rPr>
                <w:rFonts w:ascii="Times New Roman" w:hAnsi="Times New Roman" w:eastAsia="仿宋_GB2312" w:cs="Times New Roman"/>
                <w:color w:val="000000"/>
                <w:kern w:val="0"/>
                <w:sz w:val="24"/>
                <w:szCs w:val="24"/>
                <w:highlight w:val="none"/>
                <w:lang w:val="en-US" w:eastAsia="zh-CN" w:bidi="ar"/>
              </w:rPr>
            </w:pPr>
            <w:r>
              <w:rPr>
                <w:rFonts w:hint="eastAsia" w:eastAsia="仿宋_GB2312"/>
                <w:color w:val="000000"/>
                <w:kern w:val="0"/>
                <w:sz w:val="24"/>
                <w:highlight w:val="none"/>
                <w:lang w:val="en-US" w:eastAsia="zh-CN" w:bidi="ar"/>
              </w:rPr>
              <w:t>杨博敏69561712</w:t>
            </w: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14:paraId="2B1C44C4">
            <w:pPr>
              <w:spacing w:line="300" w:lineRule="exact"/>
              <w:rPr>
                <w:rFonts w:ascii="仿宋_GB2312" w:hAnsi="宋体" w:eastAsia="仿宋_GB2312" w:cs="仿宋_GB2312"/>
                <w:color w:val="000000"/>
                <w:sz w:val="24"/>
              </w:rPr>
            </w:pPr>
          </w:p>
        </w:tc>
      </w:tr>
      <w:tr w14:paraId="5E724A4C">
        <w:tblPrEx>
          <w:tblCellMar>
            <w:top w:w="0" w:type="dxa"/>
            <w:left w:w="108" w:type="dxa"/>
            <w:bottom w:w="0" w:type="dxa"/>
            <w:right w:w="108" w:type="dxa"/>
          </w:tblCellMar>
        </w:tblPrEx>
        <w:trPr>
          <w:cantSplit/>
          <w:trHeight w:val="156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02EB3EAE">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509B56DF">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0504F7EB">
            <w:pPr>
              <w:spacing w:line="300" w:lineRule="exact"/>
              <w:rPr>
                <w:rFonts w:ascii="仿宋_GB2312" w:hAnsi="宋体" w:eastAsia="仿宋_GB2312" w:cs="仿宋_GB2312"/>
                <w:color w:val="000000"/>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616F0DCE">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地方教育附加征收管理</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428E57E7">
            <w:pPr>
              <w:spacing w:line="300" w:lineRule="exact"/>
              <w:rPr>
                <w:rFonts w:ascii="仿宋_GB2312" w:hAnsi="宋体" w:eastAsia="仿宋_GB2312" w:cs="仿宋_GB2312"/>
                <w:color w:val="000000"/>
                <w:sz w:val="24"/>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7C5E9EAC">
            <w:pPr>
              <w:spacing w:line="300" w:lineRule="exact"/>
              <w:rPr>
                <w:rFonts w:ascii="仿宋_GB2312" w:hAnsi="宋体" w:eastAsia="仿宋_GB2312" w:cs="仿宋_GB2312"/>
                <w:color w:val="000000"/>
                <w:sz w:val="24"/>
              </w:rPr>
            </w:pPr>
          </w:p>
        </w:tc>
        <w:tc>
          <w:tcPr>
            <w:tcW w:w="374" w:type="pct"/>
            <w:vMerge w:val="continue"/>
            <w:tcBorders>
              <w:left w:val="single" w:color="000000" w:sz="4" w:space="0"/>
              <w:bottom w:val="single" w:color="000000" w:sz="4" w:space="0"/>
              <w:right w:val="single" w:color="000000" w:sz="4" w:space="0"/>
            </w:tcBorders>
            <w:vAlign w:val="center"/>
          </w:tcPr>
          <w:p w14:paraId="5B9B17E7">
            <w:pPr>
              <w:widowControl/>
              <w:spacing w:line="300" w:lineRule="exact"/>
              <w:jc w:val="center"/>
              <w:textAlignment w:val="center"/>
              <w:rPr>
                <w:rFonts w:eastAsia="仿宋_GB2312"/>
                <w:color w:val="000000"/>
                <w:kern w:val="0"/>
                <w:sz w:val="24"/>
                <w:lang w:bidi="ar"/>
              </w:rPr>
            </w:pPr>
          </w:p>
        </w:tc>
        <w:tc>
          <w:tcPr>
            <w:tcW w:w="388" w:type="pct"/>
            <w:vMerge w:val="continue"/>
            <w:tcBorders>
              <w:left w:val="single" w:color="000000" w:sz="4" w:space="0"/>
              <w:bottom w:val="single" w:color="000000" w:sz="4" w:space="0"/>
              <w:right w:val="single" w:color="000000" w:sz="4" w:space="0"/>
            </w:tcBorders>
            <w:vAlign w:val="center"/>
          </w:tcPr>
          <w:p w14:paraId="718A10C3">
            <w:pPr>
              <w:widowControl/>
              <w:spacing w:line="300" w:lineRule="exact"/>
              <w:jc w:val="center"/>
              <w:textAlignment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14:paraId="1A013550">
            <w:pPr>
              <w:spacing w:line="300" w:lineRule="exact"/>
              <w:rPr>
                <w:rFonts w:ascii="仿宋_GB2312" w:hAnsi="宋体" w:eastAsia="仿宋_GB2312" w:cs="仿宋_GB2312"/>
                <w:color w:val="000000"/>
                <w:sz w:val="24"/>
              </w:rPr>
            </w:pPr>
          </w:p>
        </w:tc>
      </w:tr>
      <w:tr w14:paraId="00AEB776">
        <w:tblPrEx>
          <w:tblCellMar>
            <w:top w:w="0" w:type="dxa"/>
            <w:left w:w="108" w:type="dxa"/>
            <w:bottom w:w="0" w:type="dxa"/>
            <w:right w:w="108" w:type="dxa"/>
          </w:tblCellMar>
        </w:tblPrEx>
        <w:trPr>
          <w:cantSplit/>
          <w:trHeight w:val="104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594C8894">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19</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2A09F872">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570A5700">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对于简易低风险项目，局部管线接驳服务无需办理工程规划事项。</w:t>
            </w:r>
          </w:p>
        </w:tc>
        <w:tc>
          <w:tcPr>
            <w:tcW w:w="545" w:type="pct"/>
            <w:tcBorders>
              <w:top w:val="single" w:color="000000" w:sz="4" w:space="0"/>
              <w:left w:val="single" w:color="000000" w:sz="4" w:space="0"/>
              <w:bottom w:val="single" w:color="000000" w:sz="4" w:space="0"/>
              <w:right w:val="single" w:color="000000" w:sz="4" w:space="0"/>
            </w:tcBorders>
            <w:vAlign w:val="center"/>
          </w:tcPr>
          <w:p w14:paraId="1D6E4D4E">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66756897">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《关于印发天津市工程建设项目</w:t>
            </w:r>
            <w:r>
              <w:rPr>
                <w:rFonts w:eastAsia="仿宋_GB2312"/>
                <w:color w:val="000000"/>
                <w:kern w:val="0"/>
                <w:sz w:val="24"/>
                <w:highlight w:val="none"/>
                <w:lang w:bidi="ar"/>
              </w:rPr>
              <w:t>“清单制+告知承诺制”审批改革实施方案的通知》（津住建政务〔2020〕16号）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053DEE2F">
            <w:pPr>
              <w:widowControl/>
              <w:spacing w:line="300" w:lineRule="exact"/>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14:paraId="1F7AA079">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14:paraId="07FF0C04">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p w14:paraId="3C9C7C55">
            <w:pPr>
              <w:widowControl/>
              <w:spacing w:line="300" w:lineRule="exact"/>
              <w:jc w:val="center"/>
              <w:textAlignment w:val="center"/>
              <w:rPr>
                <w:rFonts w:eastAsia="仿宋_GB2312"/>
                <w:color w:val="000000"/>
                <w:kern w:val="0"/>
                <w:sz w:val="24"/>
                <w:lang w:bidi="ar"/>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85EB4A">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14:paraId="5B0A1EAF">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p w14:paraId="122407EF">
            <w:pPr>
              <w:widowControl/>
              <w:spacing w:line="300" w:lineRule="exact"/>
              <w:jc w:val="center"/>
              <w:textAlignment w:val="center"/>
              <w:rPr>
                <w:rFonts w:eastAsia="仿宋_GB2312"/>
                <w:color w:val="000000"/>
                <w:kern w:val="0"/>
                <w:sz w:val="24"/>
                <w:lang w:bidi="ar"/>
              </w:rPr>
            </w:pP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14:paraId="1CB1F982">
            <w:pPr>
              <w:spacing w:line="300" w:lineRule="exact"/>
              <w:rPr>
                <w:color w:val="000000"/>
                <w:sz w:val="24"/>
              </w:rPr>
            </w:pPr>
          </w:p>
        </w:tc>
      </w:tr>
      <w:tr w14:paraId="33385687">
        <w:tblPrEx>
          <w:tblCellMar>
            <w:top w:w="0" w:type="dxa"/>
            <w:left w:w="108" w:type="dxa"/>
            <w:bottom w:w="0" w:type="dxa"/>
            <w:right w:w="108" w:type="dxa"/>
          </w:tblCellMar>
        </w:tblPrEx>
        <w:trPr>
          <w:cantSplit/>
          <w:trHeight w:val="104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269760A3">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58260195">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7AE4A0AC">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1B5F6254">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5DD177C0">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45B4D0E8">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14:paraId="24FE12C6">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14:paraId="4A661FFE">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14:paraId="7F159973">
            <w:pPr>
              <w:spacing w:line="300" w:lineRule="exact"/>
              <w:rPr>
                <w:color w:val="000000"/>
                <w:sz w:val="24"/>
              </w:rPr>
            </w:pPr>
          </w:p>
        </w:tc>
      </w:tr>
      <w:tr w14:paraId="3323A96C">
        <w:tblPrEx>
          <w:tblCellMar>
            <w:top w:w="0" w:type="dxa"/>
            <w:left w:w="108" w:type="dxa"/>
            <w:bottom w:w="0" w:type="dxa"/>
            <w:right w:w="108" w:type="dxa"/>
          </w:tblCellMar>
        </w:tblPrEx>
        <w:trPr>
          <w:cantSplit/>
          <w:trHeight w:val="104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255D983C">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20</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3CAF1C12">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5958CC85">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对于原线路径不变的电力线路重建、原线改造或增容、原杆塔挂线、原线路杆塔改造、原线下保护区内立杆塔、既有电力设施（电力排管、沟槽、隧道、综合管廊等）展放线缆等情况，不再办理规划审批手续</w:t>
            </w:r>
            <w:r>
              <w:rPr>
                <w:rFonts w:eastAsia="仿宋_GB2312"/>
                <w:color w:val="000000"/>
                <w:kern w:val="0"/>
                <w:sz w:val="24"/>
                <w:lang w:bidi="ar"/>
              </w:rPr>
              <w:t>。</w:t>
            </w:r>
          </w:p>
        </w:tc>
        <w:tc>
          <w:tcPr>
            <w:tcW w:w="545" w:type="pct"/>
            <w:tcBorders>
              <w:top w:val="single" w:color="000000" w:sz="4" w:space="0"/>
              <w:left w:val="single" w:color="000000" w:sz="4" w:space="0"/>
              <w:bottom w:val="single" w:color="000000" w:sz="4" w:space="0"/>
              <w:right w:val="single" w:color="000000" w:sz="4" w:space="0"/>
            </w:tcBorders>
            <w:vAlign w:val="center"/>
          </w:tcPr>
          <w:p w14:paraId="51E4434A">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4B39C063">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《关于印发〈持续优化电力工程建设项目政务服务工作方案〉的通知》（津政服〔</w:t>
            </w:r>
            <w:r>
              <w:rPr>
                <w:rFonts w:eastAsia="仿宋_GB2312"/>
                <w:color w:val="000000"/>
                <w:kern w:val="0"/>
                <w:sz w:val="24"/>
                <w:highlight w:val="none"/>
                <w:lang w:bidi="ar"/>
              </w:rPr>
              <w:t>2020〕15号）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203E4E72">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14:paraId="586E38B8">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14:paraId="45183A26">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p w14:paraId="02F3746E">
            <w:pPr>
              <w:widowControl/>
              <w:spacing w:line="300" w:lineRule="exact"/>
              <w:jc w:val="center"/>
              <w:textAlignment w:val="center"/>
              <w:rPr>
                <w:rFonts w:eastAsia="仿宋_GB2312"/>
                <w:color w:val="000000"/>
                <w:kern w:val="0"/>
                <w:sz w:val="24"/>
                <w:lang w:bidi="ar"/>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0FFCE7">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14:paraId="3BB698AC">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p w14:paraId="0645A742">
            <w:pPr>
              <w:widowControl/>
              <w:spacing w:line="300" w:lineRule="exact"/>
              <w:jc w:val="center"/>
              <w:textAlignment w:val="center"/>
              <w:rPr>
                <w:rFonts w:eastAsia="仿宋_GB2312"/>
                <w:color w:val="000000"/>
                <w:kern w:val="0"/>
                <w:sz w:val="24"/>
                <w:lang w:bidi="ar"/>
              </w:rPr>
            </w:pP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14:paraId="50FA5F56">
            <w:pPr>
              <w:spacing w:line="300" w:lineRule="exact"/>
              <w:rPr>
                <w:color w:val="000000"/>
                <w:sz w:val="24"/>
              </w:rPr>
            </w:pPr>
          </w:p>
        </w:tc>
      </w:tr>
      <w:tr w14:paraId="026DA326">
        <w:tblPrEx>
          <w:tblCellMar>
            <w:top w:w="0" w:type="dxa"/>
            <w:left w:w="108" w:type="dxa"/>
            <w:bottom w:w="0" w:type="dxa"/>
            <w:right w:w="108" w:type="dxa"/>
          </w:tblCellMar>
        </w:tblPrEx>
        <w:trPr>
          <w:cantSplit/>
          <w:trHeight w:val="104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5B2DCE30">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2104CE8C">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054E802C">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410A90C8">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60E265A3">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2755402B">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14:paraId="76E979EF">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14:paraId="7F495C30">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14:paraId="56893FCA">
            <w:pPr>
              <w:spacing w:line="300" w:lineRule="exact"/>
              <w:rPr>
                <w:color w:val="000000"/>
                <w:sz w:val="24"/>
              </w:rPr>
            </w:pPr>
          </w:p>
        </w:tc>
      </w:tr>
      <w:tr w14:paraId="28C59218">
        <w:tblPrEx>
          <w:tblCellMar>
            <w:top w:w="0" w:type="dxa"/>
            <w:left w:w="108" w:type="dxa"/>
            <w:bottom w:w="0" w:type="dxa"/>
            <w:right w:w="108" w:type="dxa"/>
          </w:tblCellMar>
        </w:tblPrEx>
        <w:trPr>
          <w:cantSplit/>
          <w:trHeight w:val="867"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7DF6734B">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21</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7AE37EEF">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792D55B2">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对路径长度不大于</w:t>
            </w:r>
            <w:r>
              <w:rPr>
                <w:rFonts w:eastAsia="仿宋_GB2312"/>
                <w:color w:val="000000"/>
                <w:kern w:val="0"/>
                <w:sz w:val="24"/>
                <w:lang w:bidi="ar"/>
              </w:rPr>
              <w:t>200米的35千伏及以下电力线路工程，不再办理规划审批手续。</w:t>
            </w:r>
          </w:p>
        </w:tc>
        <w:tc>
          <w:tcPr>
            <w:tcW w:w="545" w:type="pct"/>
            <w:tcBorders>
              <w:top w:val="single" w:color="000000" w:sz="4" w:space="0"/>
              <w:left w:val="single" w:color="000000" w:sz="4" w:space="0"/>
              <w:bottom w:val="single" w:color="000000" w:sz="4" w:space="0"/>
              <w:right w:val="single" w:color="000000" w:sz="4" w:space="0"/>
            </w:tcBorders>
            <w:vAlign w:val="center"/>
          </w:tcPr>
          <w:p w14:paraId="6BC150F1">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5E61F4B8">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《关于印发〈持续优化电力工程建设项目政务服务工作方案〉的通知》（津政服〔</w:t>
            </w:r>
            <w:r>
              <w:rPr>
                <w:rFonts w:eastAsia="仿宋_GB2312"/>
                <w:color w:val="000000"/>
                <w:kern w:val="0"/>
                <w:sz w:val="24"/>
                <w:highlight w:val="none"/>
                <w:lang w:bidi="ar"/>
              </w:rPr>
              <w:t>2020〕15号）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0FD854B2">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14:paraId="25C0C65D">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14:paraId="537AEF88">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p w14:paraId="10063301">
            <w:pPr>
              <w:widowControl/>
              <w:spacing w:line="300" w:lineRule="exact"/>
              <w:jc w:val="center"/>
              <w:textAlignment w:val="center"/>
              <w:rPr>
                <w:rFonts w:eastAsia="仿宋_GB2312"/>
                <w:color w:val="000000"/>
                <w:kern w:val="0"/>
                <w:sz w:val="24"/>
                <w:lang w:bidi="ar"/>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E4018">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14:paraId="77698A9B">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p w14:paraId="5D159DE5">
            <w:pPr>
              <w:widowControl/>
              <w:spacing w:line="300" w:lineRule="exact"/>
              <w:jc w:val="center"/>
              <w:textAlignment w:val="center"/>
              <w:rPr>
                <w:rFonts w:eastAsia="仿宋_GB2312"/>
                <w:color w:val="000000"/>
                <w:kern w:val="0"/>
                <w:sz w:val="24"/>
                <w:lang w:bidi="ar"/>
              </w:rPr>
            </w:pP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14:paraId="5D19DE49">
            <w:pPr>
              <w:spacing w:line="300" w:lineRule="exact"/>
              <w:rPr>
                <w:color w:val="000000"/>
                <w:sz w:val="24"/>
              </w:rPr>
            </w:pPr>
          </w:p>
        </w:tc>
      </w:tr>
      <w:tr w14:paraId="4CEBB07C">
        <w:tblPrEx>
          <w:tblCellMar>
            <w:top w:w="0" w:type="dxa"/>
            <w:left w:w="108" w:type="dxa"/>
            <w:bottom w:w="0" w:type="dxa"/>
            <w:right w:w="108" w:type="dxa"/>
          </w:tblCellMar>
        </w:tblPrEx>
        <w:trPr>
          <w:cantSplit/>
          <w:trHeight w:val="110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6997C250">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0551A650">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36979E7A">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1E28E0B7">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2C0220A5">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2D02ED43">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14:paraId="1276D3F1">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14:paraId="7E49FFA1">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14:paraId="59B7AACC">
            <w:pPr>
              <w:spacing w:line="300" w:lineRule="exact"/>
              <w:rPr>
                <w:color w:val="000000"/>
                <w:sz w:val="24"/>
              </w:rPr>
            </w:pPr>
          </w:p>
        </w:tc>
      </w:tr>
      <w:tr w14:paraId="1BB6B106">
        <w:tblPrEx>
          <w:tblCellMar>
            <w:top w:w="0" w:type="dxa"/>
            <w:left w:w="108" w:type="dxa"/>
            <w:bottom w:w="0" w:type="dxa"/>
            <w:right w:w="108" w:type="dxa"/>
          </w:tblCellMar>
        </w:tblPrEx>
        <w:trPr>
          <w:cantSplit/>
          <w:trHeight w:val="2186"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7D9E8259">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22</w:t>
            </w:r>
          </w:p>
        </w:tc>
        <w:tc>
          <w:tcPr>
            <w:tcW w:w="269" w:type="pct"/>
            <w:tcBorders>
              <w:top w:val="single" w:color="000000" w:sz="4" w:space="0"/>
              <w:left w:val="single" w:color="000000" w:sz="4" w:space="0"/>
              <w:bottom w:val="single" w:color="000000" w:sz="4" w:space="0"/>
              <w:right w:val="single" w:color="000000" w:sz="4" w:space="0"/>
            </w:tcBorders>
            <w:vAlign w:val="center"/>
          </w:tcPr>
          <w:p w14:paraId="43204042">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69E9AAB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原挖原换的市政管网项目，可不办理建设工程规划许可</w:t>
            </w:r>
            <w:bookmarkStart w:id="0" w:name="_GoBack"/>
            <w:bookmarkEnd w:id="0"/>
            <w:r>
              <w:rPr>
                <w:rFonts w:hint="eastAsia" w:eastAsia="仿宋_GB2312"/>
                <w:color w:val="000000"/>
                <w:kern w:val="0"/>
                <w:sz w:val="24"/>
                <w:lang w:bidi="ar"/>
              </w:rPr>
              <w:t>证</w:t>
            </w:r>
            <w:r>
              <w:rPr>
                <w:rFonts w:eastAsia="仿宋_GB2312"/>
                <w:color w:val="000000"/>
                <w:kern w:val="0"/>
                <w:sz w:val="24"/>
                <w:lang w:bidi="ar"/>
              </w:rPr>
              <w:t>。</w:t>
            </w:r>
          </w:p>
        </w:tc>
        <w:tc>
          <w:tcPr>
            <w:tcW w:w="545" w:type="pct"/>
            <w:tcBorders>
              <w:top w:val="single" w:color="000000" w:sz="4" w:space="0"/>
              <w:left w:val="single" w:color="000000" w:sz="4" w:space="0"/>
              <w:bottom w:val="single" w:color="000000" w:sz="4" w:space="0"/>
              <w:right w:val="single" w:color="000000" w:sz="4" w:space="0"/>
            </w:tcBorders>
            <w:vAlign w:val="center"/>
          </w:tcPr>
          <w:p w14:paraId="69EDEB0C">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tcBorders>
              <w:top w:val="single" w:color="000000" w:sz="4" w:space="0"/>
              <w:left w:val="single" w:color="000000" w:sz="4" w:space="0"/>
              <w:bottom w:val="single" w:color="000000" w:sz="4" w:space="0"/>
              <w:right w:val="single" w:color="000000" w:sz="4" w:space="0"/>
            </w:tcBorders>
            <w:vAlign w:val="center"/>
          </w:tcPr>
          <w:p w14:paraId="22FFDB5D">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w:t>
            </w:r>
            <w:r>
              <w:rPr>
                <w:rFonts w:eastAsia="仿宋_GB2312"/>
                <w:color w:val="000000"/>
                <w:kern w:val="0"/>
                <w:sz w:val="24"/>
                <w:highlight w:val="none"/>
                <w:lang w:bidi="ar"/>
              </w:rPr>
              <w:t>2018〕22号）</w:t>
            </w:r>
          </w:p>
        </w:tc>
        <w:tc>
          <w:tcPr>
            <w:tcW w:w="477" w:type="pct"/>
            <w:tcBorders>
              <w:top w:val="single" w:color="000000" w:sz="4" w:space="0"/>
              <w:left w:val="single" w:color="000000" w:sz="4" w:space="0"/>
              <w:bottom w:val="single" w:color="000000" w:sz="4" w:space="0"/>
              <w:right w:val="single" w:color="000000" w:sz="4" w:space="0"/>
            </w:tcBorders>
            <w:vAlign w:val="center"/>
          </w:tcPr>
          <w:p w14:paraId="50239C20">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5A4C1">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14:paraId="57C10F42">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2E7D">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14:paraId="5E65F4B6">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tc>
        <w:tc>
          <w:tcPr>
            <w:tcW w:w="756" w:type="pct"/>
            <w:tcBorders>
              <w:top w:val="single" w:color="000000" w:sz="4" w:space="0"/>
              <w:left w:val="single" w:color="000000" w:sz="4" w:space="0"/>
              <w:bottom w:val="single" w:color="000000" w:sz="4" w:space="0"/>
              <w:right w:val="single" w:color="000000" w:sz="4" w:space="0"/>
            </w:tcBorders>
            <w:vAlign w:val="center"/>
          </w:tcPr>
          <w:p w14:paraId="3300E42A">
            <w:pPr>
              <w:spacing w:line="300" w:lineRule="exact"/>
              <w:rPr>
                <w:color w:val="000000"/>
                <w:sz w:val="24"/>
              </w:rPr>
            </w:pPr>
          </w:p>
        </w:tc>
      </w:tr>
      <w:tr w14:paraId="5CCF44C7">
        <w:tblPrEx>
          <w:tblCellMar>
            <w:top w:w="0" w:type="dxa"/>
            <w:left w:w="108" w:type="dxa"/>
            <w:bottom w:w="0" w:type="dxa"/>
            <w:right w:w="108" w:type="dxa"/>
          </w:tblCellMar>
        </w:tblPrEx>
        <w:trPr>
          <w:cantSplit/>
          <w:trHeight w:val="92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3BAD0AE8">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23</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39384C25">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030BDEE4">
            <w:pPr>
              <w:widowControl/>
              <w:spacing w:line="300" w:lineRule="exact"/>
              <w:textAlignment w:val="center"/>
              <w:rPr>
                <w:rFonts w:eastAsia="仿宋_GB2312"/>
                <w:color w:val="000000"/>
                <w:kern w:val="0"/>
                <w:sz w:val="24"/>
                <w:lang w:bidi="ar"/>
              </w:rPr>
            </w:pPr>
            <w:r>
              <w:rPr>
                <w:rFonts w:eastAsia="仿宋_GB2312"/>
                <w:color w:val="000000"/>
                <w:kern w:val="0"/>
                <w:sz w:val="24"/>
                <w:lang w:bidi="ar"/>
              </w:rPr>
              <w:t>160千瓦（kW</w:t>
            </w:r>
            <w:r>
              <w:rPr>
                <w:rFonts w:hint="eastAsia" w:eastAsia="仿宋_GB2312"/>
                <w:color w:val="000000"/>
                <w:kern w:val="0"/>
                <w:sz w:val="24"/>
                <w:lang w:bidi="ar"/>
              </w:rPr>
              <w:t>）</w:t>
            </w:r>
            <w:r>
              <w:rPr>
                <w:rFonts w:eastAsia="仿宋_GB2312"/>
                <w:color w:val="000000"/>
                <w:kern w:val="0"/>
                <w:sz w:val="24"/>
                <w:lang w:bidi="ar"/>
              </w:rPr>
              <w:t>及以下低压工商业等所有外部电源工程，不再办理建设工程规划许可事项。</w:t>
            </w:r>
          </w:p>
        </w:tc>
        <w:tc>
          <w:tcPr>
            <w:tcW w:w="545" w:type="pct"/>
            <w:tcBorders>
              <w:top w:val="single" w:color="000000" w:sz="4" w:space="0"/>
              <w:left w:val="single" w:color="000000" w:sz="4" w:space="0"/>
              <w:bottom w:val="single" w:color="000000" w:sz="4" w:space="0"/>
              <w:right w:val="single" w:color="000000" w:sz="4" w:space="0"/>
            </w:tcBorders>
            <w:vAlign w:val="center"/>
          </w:tcPr>
          <w:p w14:paraId="4DF0A267">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0D7DF2A6">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w:t>
            </w:r>
            <w:r>
              <w:rPr>
                <w:rFonts w:eastAsia="仿宋_GB2312"/>
                <w:color w:val="000000"/>
                <w:kern w:val="0"/>
                <w:sz w:val="24"/>
                <w:highlight w:val="none"/>
                <w:lang w:bidi="ar"/>
              </w:rPr>
              <w:t>2018〕22号）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4A5F6C1D">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14:paraId="7DD1BAEC">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14:paraId="78923A4C">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p w14:paraId="506493D0">
            <w:pPr>
              <w:widowControl/>
              <w:spacing w:line="300" w:lineRule="exact"/>
              <w:jc w:val="center"/>
              <w:textAlignment w:val="center"/>
              <w:rPr>
                <w:rFonts w:eastAsia="仿宋_GB2312"/>
                <w:color w:val="000000"/>
                <w:kern w:val="0"/>
                <w:sz w:val="24"/>
                <w:lang w:bidi="ar"/>
              </w:rPr>
            </w:pP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D90BD">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14:paraId="3BC031A6">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p w14:paraId="438AEC6B">
            <w:pPr>
              <w:widowControl/>
              <w:spacing w:line="300" w:lineRule="exact"/>
              <w:jc w:val="center"/>
              <w:textAlignment w:val="center"/>
              <w:rPr>
                <w:rFonts w:eastAsia="仿宋_GB2312"/>
                <w:color w:val="000000"/>
                <w:kern w:val="0"/>
                <w:sz w:val="24"/>
                <w:lang w:bidi="ar"/>
              </w:rPr>
            </w:pP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14:paraId="5A2EB44B">
            <w:pPr>
              <w:spacing w:line="300" w:lineRule="exact"/>
              <w:rPr>
                <w:color w:val="000000"/>
                <w:sz w:val="24"/>
              </w:rPr>
            </w:pPr>
          </w:p>
        </w:tc>
      </w:tr>
      <w:tr w14:paraId="2837BB9D">
        <w:tblPrEx>
          <w:tblCellMar>
            <w:top w:w="0" w:type="dxa"/>
            <w:left w:w="108" w:type="dxa"/>
            <w:bottom w:w="0" w:type="dxa"/>
            <w:right w:w="108" w:type="dxa"/>
          </w:tblCellMar>
        </w:tblPrEx>
        <w:trPr>
          <w:cantSplit/>
          <w:trHeight w:val="9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FD2BC81">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35B65C61">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41FE6B1E">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76F693B0">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5EE8C2B9">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693A2D9B">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14:paraId="38FDF73F">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14:paraId="0A566865">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14:paraId="00F02DFC">
            <w:pPr>
              <w:spacing w:line="300" w:lineRule="exact"/>
              <w:rPr>
                <w:color w:val="000000"/>
                <w:sz w:val="24"/>
              </w:rPr>
            </w:pPr>
          </w:p>
        </w:tc>
      </w:tr>
      <w:tr w14:paraId="2EE40EC3">
        <w:tblPrEx>
          <w:tblCellMar>
            <w:top w:w="0" w:type="dxa"/>
            <w:left w:w="108" w:type="dxa"/>
            <w:bottom w:w="0" w:type="dxa"/>
            <w:right w:w="108" w:type="dxa"/>
          </w:tblCellMar>
        </w:tblPrEx>
        <w:trPr>
          <w:cantSplit/>
          <w:trHeight w:val="92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4C6FABD1">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24</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369CBAA2">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市规划资源局</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7B79C3BB">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对于我市简易低风险项目或长度在</w:t>
            </w:r>
            <w:r>
              <w:rPr>
                <w:rFonts w:eastAsia="仿宋_GB2312"/>
                <w:color w:val="000000"/>
                <w:kern w:val="0"/>
                <w:sz w:val="24"/>
                <w:lang w:bidi="ar"/>
              </w:rPr>
              <w:t>200米以下的供水排水接入配套工程不再办理工程规划相关行政许可事项。</w:t>
            </w:r>
          </w:p>
        </w:tc>
        <w:tc>
          <w:tcPr>
            <w:tcW w:w="545" w:type="pct"/>
            <w:tcBorders>
              <w:top w:val="single" w:color="000000" w:sz="4" w:space="0"/>
              <w:left w:val="single" w:color="000000" w:sz="4" w:space="0"/>
              <w:bottom w:val="single" w:color="000000" w:sz="4" w:space="0"/>
              <w:right w:val="single" w:color="000000" w:sz="4" w:space="0"/>
            </w:tcBorders>
            <w:vAlign w:val="center"/>
          </w:tcPr>
          <w:p w14:paraId="60314FB3">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用地预审与选址意见书</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1B5F9936">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《关于印发〈进一步优化供排水接入配套工程中政务服务实施方案〉的通知》（津水政服〔</w:t>
            </w:r>
            <w:r>
              <w:rPr>
                <w:rFonts w:eastAsia="仿宋_GB2312"/>
                <w:color w:val="000000"/>
                <w:kern w:val="0"/>
                <w:sz w:val="24"/>
                <w:highlight w:val="none"/>
                <w:lang w:bidi="ar"/>
              </w:rPr>
              <w:t>2021〕1号）</w:t>
            </w:r>
          </w:p>
        </w:tc>
        <w:tc>
          <w:tcPr>
            <w:tcW w:w="477" w:type="pct"/>
            <w:vMerge w:val="restart"/>
            <w:tcBorders>
              <w:top w:val="single" w:color="000000" w:sz="4" w:space="0"/>
              <w:left w:val="single" w:color="000000" w:sz="4" w:space="0"/>
              <w:bottom w:val="single" w:color="000000" w:sz="4" w:space="0"/>
              <w:right w:val="single" w:color="000000" w:sz="4" w:space="0"/>
            </w:tcBorders>
            <w:vAlign w:val="center"/>
          </w:tcPr>
          <w:p w14:paraId="795CC1CF">
            <w:pPr>
              <w:widowControl/>
              <w:spacing w:line="300" w:lineRule="exact"/>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规划资源宁河分局</w:t>
            </w:r>
          </w:p>
        </w:tc>
        <w:tc>
          <w:tcPr>
            <w:tcW w:w="374" w:type="pct"/>
            <w:vMerge w:val="restart"/>
            <w:tcBorders>
              <w:top w:val="single" w:color="000000" w:sz="4" w:space="0"/>
              <w:left w:val="single" w:color="000000" w:sz="4" w:space="0"/>
              <w:right w:val="single" w:color="000000" w:sz="4" w:space="0"/>
            </w:tcBorders>
            <w:shd w:val="clear" w:color="auto" w:fill="auto"/>
            <w:vAlign w:val="center"/>
          </w:tcPr>
          <w:p w14:paraId="44137526">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val="en-US" w:eastAsia="zh-CN" w:bidi="ar"/>
              </w:rPr>
              <w:t>利用科</w:t>
            </w:r>
          </w:p>
          <w:p w14:paraId="32637D11">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建管科</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F3955A">
            <w:pPr>
              <w:widowControl/>
              <w:spacing w:line="300" w:lineRule="exact"/>
              <w:jc w:val="center"/>
              <w:textAlignment w:val="center"/>
              <w:rPr>
                <w:rFonts w:hint="eastAsia" w:eastAsia="仿宋_GB2312"/>
                <w:color w:val="000000"/>
                <w:kern w:val="0"/>
                <w:sz w:val="24"/>
                <w:lang w:val="en-US" w:eastAsia="zh-CN" w:bidi="ar"/>
              </w:rPr>
            </w:pPr>
            <w:r>
              <w:rPr>
                <w:rFonts w:hint="eastAsia" w:eastAsia="仿宋_GB2312"/>
                <w:color w:val="000000"/>
                <w:kern w:val="0"/>
                <w:sz w:val="24"/>
                <w:lang w:eastAsia="zh-CN" w:bidi="ar"/>
              </w:rPr>
              <w:t>李绍山</w:t>
            </w:r>
            <w:r>
              <w:rPr>
                <w:rFonts w:hint="eastAsia" w:eastAsia="仿宋_GB2312"/>
                <w:color w:val="000000"/>
                <w:kern w:val="0"/>
                <w:sz w:val="24"/>
                <w:lang w:val="en-US" w:eastAsia="zh-CN" w:bidi="ar"/>
              </w:rPr>
              <w:t>69118513</w:t>
            </w:r>
          </w:p>
          <w:p w14:paraId="1DE20FDB">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钱雪弯69118530</w:t>
            </w: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14:paraId="6DADB895">
            <w:pPr>
              <w:spacing w:line="300" w:lineRule="exact"/>
              <w:rPr>
                <w:color w:val="000000"/>
                <w:sz w:val="24"/>
              </w:rPr>
            </w:pPr>
          </w:p>
        </w:tc>
      </w:tr>
      <w:tr w14:paraId="0E4713A1">
        <w:tblPrEx>
          <w:tblCellMar>
            <w:top w:w="0" w:type="dxa"/>
            <w:left w:w="108" w:type="dxa"/>
            <w:bottom w:w="0" w:type="dxa"/>
            <w:right w:w="108" w:type="dxa"/>
          </w:tblCellMar>
        </w:tblPrEx>
        <w:trPr>
          <w:cantSplit/>
          <w:trHeight w:val="9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2901528B">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49C01B07">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29D71253">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4DAE5369">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建设工程规划许可证</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30272A33">
            <w:pPr>
              <w:spacing w:line="300" w:lineRule="exact"/>
              <w:rPr>
                <w:rFonts w:eastAsia="仿宋_GB2312"/>
                <w:color w:val="000000"/>
                <w:kern w:val="0"/>
                <w:sz w:val="24"/>
                <w:highlight w:val="none"/>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vAlign w:val="center"/>
          </w:tcPr>
          <w:p w14:paraId="39154F56">
            <w:pPr>
              <w:spacing w:line="300" w:lineRule="exact"/>
              <w:rPr>
                <w:rFonts w:ascii="仿宋_GB2312" w:hAnsi="宋体" w:eastAsia="仿宋_GB2312" w:cs="仿宋_GB2312"/>
                <w:color w:val="000000"/>
                <w:sz w:val="24"/>
                <w:highlight w:val="none"/>
              </w:rPr>
            </w:pPr>
          </w:p>
        </w:tc>
        <w:tc>
          <w:tcPr>
            <w:tcW w:w="374" w:type="pct"/>
            <w:vMerge w:val="continue"/>
            <w:tcBorders>
              <w:left w:val="single" w:color="000000" w:sz="4" w:space="0"/>
              <w:bottom w:val="single" w:color="000000" w:sz="4" w:space="0"/>
              <w:right w:val="single" w:color="000000" w:sz="4" w:space="0"/>
            </w:tcBorders>
            <w:vAlign w:val="center"/>
          </w:tcPr>
          <w:p w14:paraId="47275752">
            <w:pPr>
              <w:spacing w:line="300" w:lineRule="exact"/>
              <w:jc w:val="center"/>
              <w:rPr>
                <w:rFonts w:eastAsia="仿宋_GB2312"/>
                <w:color w:val="000000"/>
                <w:kern w:val="0"/>
                <w:sz w:val="24"/>
                <w:lang w:bidi="ar"/>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14:paraId="1614984C">
            <w:pPr>
              <w:spacing w:line="300" w:lineRule="exact"/>
              <w:jc w:val="center"/>
              <w:rPr>
                <w:rFonts w:eastAsia="仿宋_GB2312"/>
                <w:color w:val="000000"/>
                <w:kern w:val="0"/>
                <w:sz w:val="24"/>
                <w:lang w:bidi="ar"/>
              </w:rPr>
            </w:pP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14:paraId="242B8EA2">
            <w:pPr>
              <w:spacing w:line="300" w:lineRule="exact"/>
              <w:rPr>
                <w:color w:val="000000"/>
                <w:sz w:val="24"/>
              </w:rPr>
            </w:pPr>
          </w:p>
        </w:tc>
      </w:tr>
      <w:tr w14:paraId="53F07F18">
        <w:tblPrEx>
          <w:tblCellMar>
            <w:top w:w="0" w:type="dxa"/>
            <w:left w:w="108" w:type="dxa"/>
            <w:bottom w:w="0" w:type="dxa"/>
            <w:right w:w="108" w:type="dxa"/>
          </w:tblCellMar>
        </w:tblPrEx>
        <w:trPr>
          <w:cantSplit/>
          <w:trHeight w:val="204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3A4C6A64">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25</w:t>
            </w:r>
          </w:p>
        </w:tc>
        <w:tc>
          <w:tcPr>
            <w:tcW w:w="269" w:type="pct"/>
            <w:tcBorders>
              <w:top w:val="single" w:color="000000" w:sz="4" w:space="0"/>
              <w:left w:val="single" w:color="000000" w:sz="4" w:space="0"/>
              <w:bottom w:val="single" w:color="000000" w:sz="4" w:space="0"/>
              <w:right w:val="single" w:color="000000" w:sz="4" w:space="0"/>
            </w:tcBorders>
            <w:vAlign w:val="center"/>
          </w:tcPr>
          <w:p w14:paraId="0172F1F9">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市住建委</w:t>
            </w:r>
          </w:p>
        </w:tc>
        <w:tc>
          <w:tcPr>
            <w:tcW w:w="1221" w:type="pct"/>
            <w:tcBorders>
              <w:top w:val="single" w:color="000000" w:sz="4" w:space="0"/>
              <w:left w:val="single" w:color="000000" w:sz="4" w:space="0"/>
              <w:bottom w:val="single" w:color="000000" w:sz="4" w:space="0"/>
              <w:right w:val="single" w:color="000000" w:sz="4" w:space="0"/>
            </w:tcBorders>
            <w:vAlign w:val="center"/>
          </w:tcPr>
          <w:p w14:paraId="361AACC0">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1000平方米以下的装饰装修工程（文物和优秀历史建筑工程除外）不再办理施工许可证；500平方米以下的建筑工程不再办理施工许可证。</w:t>
            </w:r>
          </w:p>
        </w:tc>
        <w:tc>
          <w:tcPr>
            <w:tcW w:w="545" w:type="pct"/>
            <w:tcBorders>
              <w:top w:val="single" w:color="000000" w:sz="4" w:space="0"/>
              <w:left w:val="single" w:color="000000" w:sz="4" w:space="0"/>
              <w:bottom w:val="single" w:color="000000" w:sz="4" w:space="0"/>
              <w:right w:val="single" w:color="000000" w:sz="4" w:space="0"/>
            </w:tcBorders>
            <w:vAlign w:val="center"/>
          </w:tcPr>
          <w:p w14:paraId="3BAB29C3">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建设工程施工许可</w:t>
            </w:r>
          </w:p>
        </w:tc>
        <w:tc>
          <w:tcPr>
            <w:tcW w:w="759" w:type="pct"/>
            <w:tcBorders>
              <w:top w:val="single" w:color="000000" w:sz="4" w:space="0"/>
              <w:left w:val="single" w:color="000000" w:sz="4" w:space="0"/>
              <w:bottom w:val="single" w:color="000000" w:sz="4" w:space="0"/>
              <w:right w:val="single" w:color="000000" w:sz="4" w:space="0"/>
            </w:tcBorders>
            <w:vAlign w:val="center"/>
          </w:tcPr>
          <w:p w14:paraId="5B494378">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《天津市人民政府关于印发天津市工程建设项目审批制度改革试点实施方案的通知》（津政发〔2018〕22号）</w:t>
            </w:r>
          </w:p>
        </w:tc>
        <w:tc>
          <w:tcPr>
            <w:tcW w:w="477" w:type="pct"/>
            <w:tcBorders>
              <w:top w:val="single" w:color="000000" w:sz="4" w:space="0"/>
              <w:left w:val="single" w:color="000000" w:sz="4" w:space="0"/>
              <w:bottom w:val="single" w:color="000000" w:sz="4" w:space="0"/>
              <w:right w:val="single" w:color="000000" w:sz="4" w:space="0"/>
            </w:tcBorders>
            <w:vAlign w:val="center"/>
          </w:tcPr>
          <w:p w14:paraId="163B8642">
            <w:pPr>
              <w:widowControl/>
              <w:spacing w:line="300" w:lineRule="exact"/>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vAlign w:val="center"/>
          </w:tcPr>
          <w:p w14:paraId="0461745E">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vAlign w:val="center"/>
          </w:tcPr>
          <w:p w14:paraId="60542EE5">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15ADFB23">
            <w:pPr>
              <w:spacing w:line="300" w:lineRule="exact"/>
              <w:rPr>
                <w:rFonts w:ascii="仿宋_GB2312" w:hAnsi="宋体" w:eastAsia="仿宋_GB2312" w:cs="仿宋_GB2312"/>
                <w:color w:val="000000"/>
                <w:sz w:val="24"/>
              </w:rPr>
            </w:pPr>
          </w:p>
        </w:tc>
      </w:tr>
      <w:tr w14:paraId="3525B483">
        <w:tblPrEx>
          <w:tblCellMar>
            <w:top w:w="0" w:type="dxa"/>
            <w:left w:w="108" w:type="dxa"/>
            <w:bottom w:w="0" w:type="dxa"/>
            <w:right w:w="108" w:type="dxa"/>
          </w:tblCellMar>
        </w:tblPrEx>
        <w:trPr>
          <w:cantSplit/>
          <w:trHeight w:val="120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57B99D7F">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26</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64E24A1F">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1DD2FE72">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160千瓦（kW）及以下低压工商业等所有外部电源工程，不再办理建设工程规划许可、临时占用绿化用地许可、占用挖掘道路许可等审批事项，只要明确破路方案、破绿方案、占路保护及不低于原设计标准的恢复方式即可施工。</w:t>
            </w:r>
          </w:p>
        </w:tc>
        <w:tc>
          <w:tcPr>
            <w:tcW w:w="545" w:type="pct"/>
            <w:tcBorders>
              <w:top w:val="single" w:color="000000" w:sz="4" w:space="0"/>
              <w:left w:val="single" w:color="000000" w:sz="4" w:space="0"/>
              <w:bottom w:val="single" w:color="000000" w:sz="4" w:space="0"/>
              <w:right w:val="single" w:color="000000" w:sz="4" w:space="0"/>
            </w:tcBorders>
            <w:vAlign w:val="center"/>
          </w:tcPr>
          <w:p w14:paraId="4616204B">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380CBF6D">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《天津市人民政府关于印发天津市工程建设项目审批制度改革试点实施方案的通知》（津政发〔2018〕22号）</w:t>
            </w:r>
          </w:p>
        </w:tc>
        <w:tc>
          <w:tcPr>
            <w:tcW w:w="477" w:type="pct"/>
            <w:tcBorders>
              <w:top w:val="single" w:color="000000" w:sz="4" w:space="0"/>
              <w:left w:val="single" w:color="000000" w:sz="4" w:space="0"/>
              <w:bottom w:val="single" w:color="000000" w:sz="4" w:space="0"/>
              <w:right w:val="single" w:color="000000" w:sz="4" w:space="0"/>
            </w:tcBorders>
            <w:vAlign w:val="center"/>
          </w:tcPr>
          <w:p w14:paraId="10647695">
            <w:pPr>
              <w:widowControl/>
              <w:spacing w:line="300" w:lineRule="exact"/>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AA22A">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6013">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4E9638C3">
            <w:pPr>
              <w:spacing w:line="300" w:lineRule="exact"/>
              <w:rPr>
                <w:rFonts w:ascii="仿宋_GB2312" w:hAnsi="宋体" w:eastAsia="仿宋_GB2312" w:cs="仿宋_GB2312"/>
                <w:color w:val="000000"/>
                <w:sz w:val="24"/>
              </w:rPr>
            </w:pPr>
          </w:p>
        </w:tc>
      </w:tr>
      <w:tr w14:paraId="1472EA9A">
        <w:tblPrEx>
          <w:tblCellMar>
            <w:top w:w="0" w:type="dxa"/>
            <w:left w:w="108" w:type="dxa"/>
            <w:bottom w:w="0" w:type="dxa"/>
            <w:right w:w="108" w:type="dxa"/>
          </w:tblCellMar>
        </w:tblPrEx>
        <w:trPr>
          <w:cantSplit/>
          <w:trHeight w:val="172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13A84DDE">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1D62280B">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11566408">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144CDAB8">
            <w:pPr>
              <w:widowControl/>
              <w:spacing w:line="300" w:lineRule="exact"/>
              <w:textAlignment w:val="center"/>
              <w:rPr>
                <w:rFonts w:eastAsia="仿宋_GB2312"/>
                <w:color w:val="000000"/>
                <w:kern w:val="0"/>
                <w:sz w:val="24"/>
                <w:highlight w:val="none"/>
                <w:lang w:bidi="ar"/>
              </w:rPr>
            </w:pPr>
            <w:r>
              <w:rPr>
                <w:rFonts w:hint="eastAsia" w:eastAsia="仿宋_GB2312"/>
                <w:color w:val="000000"/>
                <w:kern w:val="0"/>
                <w:sz w:val="24"/>
                <w:highlight w:val="none"/>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2D67A321">
            <w:pPr>
              <w:spacing w:line="300" w:lineRule="exact"/>
              <w:rPr>
                <w:rFonts w:eastAsia="仿宋_GB2312"/>
                <w:color w:val="000000"/>
                <w:kern w:val="0"/>
                <w:sz w:val="24"/>
                <w:highlight w:val="none"/>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14:paraId="1810B48C">
            <w:pPr>
              <w:widowControl/>
              <w:spacing w:line="300" w:lineRule="exact"/>
              <w:textAlignment w:val="center"/>
              <w:rPr>
                <w:rFonts w:hint="eastAsia" w:ascii="仿宋_GB2312" w:hAnsi="宋体" w:eastAsia="仿宋_GB2312" w:cs="仿宋_GB2312"/>
                <w:color w:val="000000"/>
                <w:sz w:val="24"/>
                <w:highlight w:val="none"/>
                <w:lang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172A">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F934">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23F3975D">
            <w:pPr>
              <w:spacing w:line="300" w:lineRule="exact"/>
              <w:rPr>
                <w:rFonts w:ascii="仿宋_GB2312" w:hAnsi="宋体" w:eastAsia="仿宋_GB2312" w:cs="仿宋_GB2312"/>
                <w:color w:val="000000"/>
                <w:sz w:val="24"/>
              </w:rPr>
            </w:pPr>
          </w:p>
        </w:tc>
      </w:tr>
      <w:tr w14:paraId="3C0125AA">
        <w:tblPrEx>
          <w:tblCellMar>
            <w:top w:w="0" w:type="dxa"/>
            <w:left w:w="108" w:type="dxa"/>
            <w:bottom w:w="0" w:type="dxa"/>
            <w:right w:w="108" w:type="dxa"/>
          </w:tblCellMar>
        </w:tblPrEx>
        <w:trPr>
          <w:cantSplit/>
          <w:trHeight w:val="232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37608E01">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27</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2F1AD371">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2F39565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新装、增容等配套服务的35千伏及以下电压等级，长度在200米及以下的配套电力线性工程，不再办理核准、规划、临时占用绿化用地、占用挖掘城市道路等审批事项。涉及占掘道路、占用、破坏城市绿地，建设管理单位在明确破路、破绿方案、占路保护方案，并与相关设施养护管理部门签订管理协议，凡涉及公共安全的，在征得公安机关交通管理部门同意，并承诺不低于原设计标准的方式恢复被破道路、被占绿地后即可施工。建设项目建设期内使用临时电供电的架空电力线性工程参照执行。</w:t>
            </w:r>
          </w:p>
        </w:tc>
        <w:tc>
          <w:tcPr>
            <w:tcW w:w="545" w:type="pct"/>
            <w:tcBorders>
              <w:top w:val="single" w:color="000000" w:sz="4" w:space="0"/>
              <w:left w:val="single" w:color="000000" w:sz="4" w:space="0"/>
              <w:bottom w:val="single" w:color="000000" w:sz="4" w:space="0"/>
              <w:right w:val="single" w:color="000000" w:sz="4" w:space="0"/>
            </w:tcBorders>
            <w:vAlign w:val="center"/>
          </w:tcPr>
          <w:p w14:paraId="0222572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332E7638">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《关于印发〈简化中低压等级配套电力线性工程审批流程实施方案〉的函》（津政务函〔2019〕53号）</w:t>
            </w:r>
          </w:p>
        </w:tc>
        <w:tc>
          <w:tcPr>
            <w:tcW w:w="477" w:type="pct"/>
            <w:tcBorders>
              <w:top w:val="single" w:color="000000" w:sz="4" w:space="0"/>
              <w:left w:val="single" w:color="000000" w:sz="4" w:space="0"/>
              <w:bottom w:val="single" w:color="000000" w:sz="4" w:space="0"/>
              <w:right w:val="single" w:color="000000" w:sz="4" w:space="0"/>
            </w:tcBorders>
            <w:vAlign w:val="center"/>
          </w:tcPr>
          <w:p w14:paraId="63996D57">
            <w:pPr>
              <w:widowControl/>
              <w:spacing w:line="300" w:lineRule="exact"/>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4338">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6AC0">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vMerge w:val="restart"/>
            <w:tcBorders>
              <w:top w:val="single" w:color="000000" w:sz="4" w:space="0"/>
              <w:left w:val="single" w:color="000000" w:sz="4" w:space="0"/>
              <w:bottom w:val="single" w:color="000000" w:sz="4" w:space="0"/>
              <w:right w:val="single" w:color="000000" w:sz="4" w:space="0"/>
            </w:tcBorders>
            <w:vAlign w:val="center"/>
          </w:tcPr>
          <w:p w14:paraId="4C9A8829">
            <w:pPr>
              <w:spacing w:line="300" w:lineRule="exact"/>
              <w:rPr>
                <w:rFonts w:ascii="仿宋_GB2312" w:hAnsi="宋体" w:eastAsia="仿宋_GB2312" w:cs="仿宋_GB2312"/>
                <w:color w:val="000000"/>
                <w:sz w:val="24"/>
              </w:rPr>
            </w:pPr>
          </w:p>
        </w:tc>
      </w:tr>
      <w:tr w14:paraId="62EA4C29">
        <w:tblPrEx>
          <w:tblCellMar>
            <w:top w:w="0" w:type="dxa"/>
            <w:left w:w="108" w:type="dxa"/>
            <w:bottom w:w="0" w:type="dxa"/>
            <w:right w:w="108" w:type="dxa"/>
          </w:tblCellMar>
        </w:tblPrEx>
        <w:trPr>
          <w:cantSplit/>
          <w:trHeight w:val="2706"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30C18990">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30001CE2">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17B5FF46">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0B5FBE0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4FB9EF5E">
            <w:pPr>
              <w:spacing w:line="300" w:lineRule="exact"/>
              <w:rPr>
                <w:rFonts w:eastAsia="仿宋_GB2312"/>
                <w:color w:val="000000"/>
                <w:kern w:val="0"/>
                <w:sz w:val="24"/>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14:paraId="4DAA9657">
            <w:pPr>
              <w:widowControl/>
              <w:spacing w:line="300" w:lineRule="exact"/>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9BD4E">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49063">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vMerge w:val="continue"/>
            <w:tcBorders>
              <w:top w:val="single" w:color="000000" w:sz="4" w:space="0"/>
              <w:left w:val="single" w:color="000000" w:sz="4" w:space="0"/>
              <w:bottom w:val="single" w:color="000000" w:sz="4" w:space="0"/>
              <w:right w:val="single" w:color="000000" w:sz="4" w:space="0"/>
            </w:tcBorders>
            <w:vAlign w:val="center"/>
          </w:tcPr>
          <w:p w14:paraId="643B180A">
            <w:pPr>
              <w:spacing w:line="300" w:lineRule="exact"/>
              <w:rPr>
                <w:rFonts w:ascii="仿宋_GB2312" w:hAnsi="宋体" w:eastAsia="仿宋_GB2312" w:cs="仿宋_GB2312"/>
                <w:color w:val="000000"/>
                <w:sz w:val="24"/>
              </w:rPr>
            </w:pPr>
          </w:p>
        </w:tc>
      </w:tr>
      <w:tr w14:paraId="0A35DEF1">
        <w:tblPrEx>
          <w:tblCellMar>
            <w:top w:w="0" w:type="dxa"/>
            <w:left w:w="108" w:type="dxa"/>
            <w:bottom w:w="0" w:type="dxa"/>
            <w:right w:w="108" w:type="dxa"/>
          </w:tblCellMar>
        </w:tblPrEx>
        <w:trPr>
          <w:cantSplit/>
          <w:trHeight w:val="766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62411A37">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28</w:t>
            </w:r>
          </w:p>
        </w:tc>
        <w:tc>
          <w:tcPr>
            <w:tcW w:w="269" w:type="pct"/>
            <w:tcBorders>
              <w:top w:val="single" w:color="000000" w:sz="4" w:space="0"/>
              <w:left w:val="single" w:color="000000" w:sz="4" w:space="0"/>
              <w:bottom w:val="single" w:color="000000" w:sz="4" w:space="0"/>
              <w:right w:val="single" w:color="000000" w:sz="4" w:space="0"/>
            </w:tcBorders>
            <w:vAlign w:val="center"/>
          </w:tcPr>
          <w:p w14:paraId="555D5A9D">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tcBorders>
              <w:top w:val="single" w:color="000000" w:sz="4" w:space="0"/>
              <w:left w:val="single" w:color="000000" w:sz="4" w:space="0"/>
              <w:bottom w:val="single" w:color="000000" w:sz="4" w:space="0"/>
              <w:right w:val="single" w:color="000000" w:sz="4" w:space="0"/>
            </w:tcBorders>
            <w:vAlign w:val="center"/>
          </w:tcPr>
          <w:p w14:paraId="12647A5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涉及占用城市绿地建设的通信基站，单站址建设高度不超过45米，占地面积不超过10平方米。其中基站铁塔占地面积不超过5平方米；配套机柜不超过4个，占地面积不超过5平方米。市内六区单站址建设高度不超过35米，占地面积不超过5平方米。其中基站铁塔占地面积不超过2平方米；配套机柜不超过2个，占地面积不超过3平方米（其他行政区结合本区域实际参照执行）。此类基站无需办理规划审批事项，在不影响绿地和城市景观的前提下，建设单位凭通信管理部门出具的通信基站建设证明、各区人民政府批复的通信基站站址专项规划作为建设通信基站的文件依据，无需办理涉及城市绿地、树木许可，建设单位凭以上材料与绿地管理单位沟通后进场施工，绿地管理单位配合做好有关工作。</w:t>
            </w:r>
          </w:p>
        </w:tc>
        <w:tc>
          <w:tcPr>
            <w:tcW w:w="545" w:type="pct"/>
            <w:tcBorders>
              <w:top w:val="single" w:color="000000" w:sz="4" w:space="0"/>
              <w:left w:val="single" w:color="000000" w:sz="4" w:space="0"/>
              <w:bottom w:val="single" w:color="000000" w:sz="4" w:space="0"/>
              <w:right w:val="single" w:color="000000" w:sz="4" w:space="0"/>
            </w:tcBorders>
            <w:vAlign w:val="center"/>
          </w:tcPr>
          <w:p w14:paraId="15E72B68">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工程建设涉及城市绿地、树木许可</w:t>
            </w:r>
          </w:p>
        </w:tc>
        <w:tc>
          <w:tcPr>
            <w:tcW w:w="759" w:type="pct"/>
            <w:tcBorders>
              <w:top w:val="single" w:color="000000" w:sz="4" w:space="0"/>
              <w:left w:val="single" w:color="000000" w:sz="4" w:space="0"/>
              <w:bottom w:val="single" w:color="000000" w:sz="4" w:space="0"/>
              <w:right w:val="single" w:color="000000" w:sz="4" w:space="0"/>
            </w:tcBorders>
            <w:vAlign w:val="center"/>
          </w:tcPr>
          <w:p w14:paraId="1FF7904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《关于优化通信基站站址建设行政审批工作的通知》（津政务发〔2020〕25号）</w:t>
            </w:r>
          </w:p>
        </w:tc>
        <w:tc>
          <w:tcPr>
            <w:tcW w:w="477" w:type="pct"/>
            <w:tcBorders>
              <w:top w:val="single" w:color="000000" w:sz="4" w:space="0"/>
              <w:left w:val="single" w:color="000000" w:sz="4" w:space="0"/>
              <w:bottom w:val="single" w:color="000000" w:sz="4" w:space="0"/>
              <w:right w:val="single" w:color="000000" w:sz="4" w:space="0"/>
            </w:tcBorders>
            <w:vAlign w:val="center"/>
          </w:tcPr>
          <w:p w14:paraId="3299D885">
            <w:pPr>
              <w:widowControl/>
              <w:spacing w:line="300" w:lineRule="exact"/>
              <w:textAlignment w:val="center"/>
              <w:rPr>
                <w:rFonts w:hint="eastAsia" w:ascii="仿宋_GB2312" w:hAnsi="宋体" w:eastAsia="仿宋_GB2312" w:cs="仿宋_GB2312"/>
                <w:color w:val="000000"/>
                <w:sz w:val="24"/>
                <w:lang w:eastAsia="zh-CN"/>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1B37F">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81BF4">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57A62CDB">
            <w:pPr>
              <w:spacing w:line="300" w:lineRule="exact"/>
              <w:rPr>
                <w:rFonts w:ascii="仿宋_GB2312" w:hAnsi="宋体" w:eastAsia="仿宋_GB2312" w:cs="仿宋_GB2312"/>
                <w:color w:val="000000"/>
                <w:sz w:val="24"/>
              </w:rPr>
            </w:pPr>
          </w:p>
        </w:tc>
      </w:tr>
      <w:tr w14:paraId="27326324">
        <w:tblPrEx>
          <w:tblCellMar>
            <w:top w:w="0" w:type="dxa"/>
            <w:left w:w="108" w:type="dxa"/>
            <w:bottom w:w="0" w:type="dxa"/>
            <w:right w:w="108" w:type="dxa"/>
          </w:tblCellMar>
        </w:tblPrEx>
        <w:trPr>
          <w:cantSplit/>
          <w:trHeight w:val="2140" w:hRule="atLeast"/>
        </w:trPr>
        <w:tc>
          <w:tcPr>
            <w:tcW w:w="206" w:type="pct"/>
            <w:vMerge w:val="restart"/>
            <w:tcBorders>
              <w:top w:val="single" w:color="000000" w:sz="4" w:space="0"/>
              <w:left w:val="single" w:color="000000" w:sz="4" w:space="0"/>
              <w:bottom w:val="single" w:color="000000" w:sz="4" w:space="0"/>
              <w:right w:val="single" w:color="000000" w:sz="4" w:space="0"/>
            </w:tcBorders>
            <w:noWrap/>
            <w:vAlign w:val="center"/>
          </w:tcPr>
          <w:p w14:paraId="5B6184B8">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29</w:t>
            </w:r>
          </w:p>
        </w:tc>
        <w:tc>
          <w:tcPr>
            <w:tcW w:w="269" w:type="pct"/>
            <w:vMerge w:val="restart"/>
            <w:tcBorders>
              <w:top w:val="single" w:color="000000" w:sz="4" w:space="0"/>
              <w:left w:val="single" w:color="000000" w:sz="4" w:space="0"/>
              <w:bottom w:val="single" w:color="000000" w:sz="4" w:space="0"/>
              <w:right w:val="single" w:color="000000" w:sz="4" w:space="0"/>
            </w:tcBorders>
            <w:noWrap/>
            <w:vAlign w:val="center"/>
          </w:tcPr>
          <w:p w14:paraId="0A11B0A3">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0642398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路径长度不大于200米的35千伏及以下电力线路工程，不再办理规划审批手续、临时占用绿化用地、占用挖掘城市道路等审批事项。涉及占掘道路、占用、破坏城市绿地，建设管理单位应明确破路、破绿方案、占路保护方案，并与相关设施养护管理部门签订管理协议。涉及公共安全的，在征得公安交通管理部门同意，且承诺以不低于原设计标准的方式恢复被破道路、被占绿地后即可施工。</w:t>
            </w:r>
          </w:p>
        </w:tc>
        <w:tc>
          <w:tcPr>
            <w:tcW w:w="545" w:type="pct"/>
            <w:tcBorders>
              <w:top w:val="single" w:color="000000" w:sz="4" w:space="0"/>
              <w:left w:val="single" w:color="000000" w:sz="4" w:space="0"/>
              <w:bottom w:val="single" w:color="000000" w:sz="4" w:space="0"/>
              <w:right w:val="single" w:color="000000" w:sz="4" w:space="0"/>
            </w:tcBorders>
            <w:vAlign w:val="center"/>
          </w:tcPr>
          <w:p w14:paraId="7A4A1F6D">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7BD54ABA">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《关于印发〈持续优化电力工程建设项目政务服务工作方案〉的通知》（津政服〔2020〕15号）</w:t>
            </w:r>
          </w:p>
        </w:tc>
        <w:tc>
          <w:tcPr>
            <w:tcW w:w="477" w:type="pct"/>
            <w:tcBorders>
              <w:top w:val="single" w:color="000000" w:sz="4" w:space="0"/>
              <w:left w:val="single" w:color="000000" w:sz="4" w:space="0"/>
              <w:bottom w:val="single" w:color="000000" w:sz="4" w:space="0"/>
              <w:right w:val="single" w:color="000000" w:sz="4" w:space="0"/>
            </w:tcBorders>
            <w:vAlign w:val="center"/>
          </w:tcPr>
          <w:p w14:paraId="582738E6">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159E9">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CDDE">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6ADA26B7">
            <w:pPr>
              <w:spacing w:line="300" w:lineRule="exact"/>
              <w:rPr>
                <w:rFonts w:ascii="仿宋_GB2312" w:hAnsi="宋体" w:eastAsia="仿宋_GB2312" w:cs="仿宋_GB2312"/>
                <w:color w:val="000000"/>
                <w:sz w:val="24"/>
              </w:rPr>
            </w:pPr>
          </w:p>
        </w:tc>
      </w:tr>
      <w:tr w14:paraId="44EE3C53">
        <w:tblPrEx>
          <w:tblCellMar>
            <w:top w:w="0" w:type="dxa"/>
            <w:left w:w="108" w:type="dxa"/>
            <w:bottom w:w="0" w:type="dxa"/>
            <w:right w:w="108" w:type="dxa"/>
          </w:tblCellMar>
        </w:tblPrEx>
        <w:trPr>
          <w:cantSplit/>
          <w:trHeight w:val="2240" w:hRule="atLeast"/>
        </w:trPr>
        <w:tc>
          <w:tcPr>
            <w:tcW w:w="206" w:type="pct"/>
            <w:vMerge w:val="continue"/>
            <w:tcBorders>
              <w:top w:val="single" w:color="000000" w:sz="4" w:space="0"/>
              <w:left w:val="single" w:color="000000" w:sz="4" w:space="0"/>
              <w:bottom w:val="single" w:color="000000" w:sz="4" w:space="0"/>
              <w:right w:val="single" w:color="000000" w:sz="4" w:space="0"/>
            </w:tcBorders>
            <w:noWrap/>
            <w:vAlign w:val="center"/>
          </w:tcPr>
          <w:p w14:paraId="3F0D1D9A">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noWrap/>
            <w:vAlign w:val="center"/>
          </w:tcPr>
          <w:p w14:paraId="49A7906B">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25037D16">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0CFA7F3C">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5869F634">
            <w:pPr>
              <w:spacing w:line="300" w:lineRule="exact"/>
              <w:rPr>
                <w:rFonts w:eastAsia="仿宋_GB2312"/>
                <w:color w:val="000000"/>
                <w:kern w:val="0"/>
                <w:sz w:val="24"/>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14:paraId="539ABD7D">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26CC9">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B2F75">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46E6C844">
            <w:pPr>
              <w:spacing w:line="300" w:lineRule="exact"/>
              <w:rPr>
                <w:rFonts w:ascii="仿宋_GB2312" w:hAnsi="宋体" w:eastAsia="仿宋_GB2312" w:cs="仿宋_GB2312"/>
                <w:color w:val="000000"/>
                <w:sz w:val="24"/>
              </w:rPr>
            </w:pPr>
          </w:p>
        </w:tc>
      </w:tr>
      <w:tr w14:paraId="36E17AF9">
        <w:tblPrEx>
          <w:tblCellMar>
            <w:top w:w="0" w:type="dxa"/>
            <w:left w:w="108" w:type="dxa"/>
            <w:bottom w:w="0" w:type="dxa"/>
            <w:right w:w="108" w:type="dxa"/>
          </w:tblCellMar>
        </w:tblPrEx>
        <w:trPr>
          <w:cantSplit/>
          <w:trHeight w:val="120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1EB2AF48">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30</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33163402">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300823AD">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小时总用气量小于25立方米且不涉及外线的项目、接入中低压燃气管线长度200米及以内（不含过桥）的局部接驳项目，不再办理临时占用、挖掘城市道路和临时占用绿地许可事项，建设单位与养护管理部门签订管理协议（涉及交通安全的，还需征得公安交管部门同意）即可施工。</w:t>
            </w:r>
          </w:p>
        </w:tc>
        <w:tc>
          <w:tcPr>
            <w:tcW w:w="545" w:type="pct"/>
            <w:tcBorders>
              <w:top w:val="single" w:color="000000" w:sz="4" w:space="0"/>
              <w:left w:val="single" w:color="000000" w:sz="4" w:space="0"/>
              <w:bottom w:val="single" w:color="000000" w:sz="4" w:space="0"/>
              <w:right w:val="single" w:color="000000" w:sz="4" w:space="0"/>
            </w:tcBorders>
            <w:vAlign w:val="center"/>
          </w:tcPr>
          <w:p w14:paraId="4423536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4D443AC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《关于印发〈进一步优化营商环境深化用气报装改革实施方案〉的通知》（津城管服〔2020〕106号）</w:t>
            </w:r>
          </w:p>
        </w:tc>
        <w:tc>
          <w:tcPr>
            <w:tcW w:w="477" w:type="pct"/>
            <w:tcBorders>
              <w:top w:val="single" w:color="000000" w:sz="4" w:space="0"/>
              <w:left w:val="single" w:color="000000" w:sz="4" w:space="0"/>
              <w:bottom w:val="single" w:color="000000" w:sz="4" w:space="0"/>
              <w:right w:val="single" w:color="000000" w:sz="4" w:space="0"/>
            </w:tcBorders>
            <w:vAlign w:val="center"/>
          </w:tcPr>
          <w:p w14:paraId="73364B41">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D412F">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34AD">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71B1F413">
            <w:pPr>
              <w:spacing w:line="300" w:lineRule="exact"/>
              <w:rPr>
                <w:rFonts w:ascii="仿宋_GB2312" w:hAnsi="宋体" w:eastAsia="仿宋_GB2312" w:cs="仿宋_GB2312"/>
                <w:color w:val="000000"/>
                <w:sz w:val="24"/>
              </w:rPr>
            </w:pPr>
          </w:p>
        </w:tc>
      </w:tr>
      <w:tr w14:paraId="2F3B1A6C">
        <w:tblPrEx>
          <w:tblCellMar>
            <w:top w:w="0" w:type="dxa"/>
            <w:left w:w="108" w:type="dxa"/>
            <w:bottom w:w="0" w:type="dxa"/>
            <w:right w:w="108" w:type="dxa"/>
          </w:tblCellMar>
        </w:tblPrEx>
        <w:trPr>
          <w:cantSplit/>
          <w:trHeight w:val="198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6BA33D02">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7E09002A">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7259F982">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03ABFF44">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67056422">
            <w:pPr>
              <w:spacing w:line="300" w:lineRule="exact"/>
              <w:rPr>
                <w:rFonts w:eastAsia="仿宋_GB2312"/>
                <w:color w:val="000000"/>
                <w:kern w:val="0"/>
                <w:sz w:val="24"/>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14:paraId="7EB6F3F1">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3C04D">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C58E2">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5922556C">
            <w:pPr>
              <w:spacing w:line="300" w:lineRule="exact"/>
              <w:rPr>
                <w:rFonts w:ascii="仿宋_GB2312" w:hAnsi="宋体" w:eastAsia="仿宋_GB2312" w:cs="仿宋_GB2312"/>
                <w:color w:val="000000"/>
                <w:sz w:val="24"/>
              </w:rPr>
            </w:pPr>
          </w:p>
        </w:tc>
      </w:tr>
      <w:tr w14:paraId="1BF45879">
        <w:tblPrEx>
          <w:tblCellMar>
            <w:top w:w="0" w:type="dxa"/>
            <w:left w:w="108" w:type="dxa"/>
            <w:bottom w:w="0" w:type="dxa"/>
            <w:right w:w="108" w:type="dxa"/>
          </w:tblCellMar>
        </w:tblPrEx>
        <w:trPr>
          <w:cantSplit/>
          <w:trHeight w:val="2940" w:hRule="atLeast"/>
        </w:trPr>
        <w:tc>
          <w:tcPr>
            <w:tcW w:w="206" w:type="pct"/>
            <w:vMerge w:val="restart"/>
            <w:tcBorders>
              <w:top w:val="single" w:color="000000" w:sz="4" w:space="0"/>
              <w:left w:val="single" w:color="000000" w:sz="4" w:space="0"/>
              <w:bottom w:val="single" w:color="000000" w:sz="4" w:space="0"/>
              <w:right w:val="single" w:color="000000" w:sz="4" w:space="0"/>
            </w:tcBorders>
            <w:vAlign w:val="center"/>
          </w:tcPr>
          <w:p w14:paraId="0E84B657">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31</w:t>
            </w:r>
          </w:p>
        </w:tc>
        <w:tc>
          <w:tcPr>
            <w:tcW w:w="269" w:type="pct"/>
            <w:vMerge w:val="restart"/>
            <w:tcBorders>
              <w:top w:val="single" w:color="000000" w:sz="4" w:space="0"/>
              <w:left w:val="single" w:color="000000" w:sz="4" w:space="0"/>
              <w:bottom w:val="single" w:color="000000" w:sz="4" w:space="0"/>
              <w:right w:val="single" w:color="000000" w:sz="4" w:space="0"/>
            </w:tcBorders>
            <w:vAlign w:val="center"/>
          </w:tcPr>
          <w:p w14:paraId="22C33C9B">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vMerge w:val="restart"/>
            <w:tcBorders>
              <w:top w:val="single" w:color="000000" w:sz="4" w:space="0"/>
              <w:left w:val="single" w:color="000000" w:sz="4" w:space="0"/>
              <w:bottom w:val="single" w:color="000000" w:sz="4" w:space="0"/>
              <w:right w:val="single" w:color="000000" w:sz="4" w:space="0"/>
            </w:tcBorders>
            <w:vAlign w:val="center"/>
          </w:tcPr>
          <w:p w14:paraId="6C63AF56">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对于我市简易低风险项目或长度在200米以下的供水排水接入配套工程不再办理工程规划相关行政许可事项；对于我市简易低风险项目或供水连接水管直径不大于30厘米，排水连接水管直径不大于50厘米，长度在200米以下的局部管线接驳工程，不再办理项目备案，占用挖掘城市道路、临时占用城市绿化用地等行政许可事项。涉及占用挖掘城市道路、临时占用城市绿化用地的，建设单位提供破路方案、破绿方案、占路保护方案，确定管线的后期养护管理单位，与相关设施养护管理部门签订管理协议（凡涉及交通安全、迁移一般树木的，施工前需征得公安交管、城市管理部门同意），并承诺不低于原设计标准恢复被占绿地后，即可施工。</w:t>
            </w:r>
          </w:p>
        </w:tc>
        <w:tc>
          <w:tcPr>
            <w:tcW w:w="545" w:type="pct"/>
            <w:tcBorders>
              <w:top w:val="single" w:color="000000" w:sz="4" w:space="0"/>
              <w:left w:val="single" w:color="000000" w:sz="4" w:space="0"/>
              <w:bottom w:val="single" w:color="000000" w:sz="4" w:space="0"/>
              <w:right w:val="single" w:color="000000" w:sz="4" w:space="0"/>
            </w:tcBorders>
            <w:vAlign w:val="center"/>
          </w:tcPr>
          <w:p w14:paraId="3098EB1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vMerge w:val="restart"/>
            <w:tcBorders>
              <w:top w:val="single" w:color="000000" w:sz="4" w:space="0"/>
              <w:left w:val="single" w:color="000000" w:sz="4" w:space="0"/>
              <w:bottom w:val="single" w:color="000000" w:sz="4" w:space="0"/>
              <w:right w:val="single" w:color="000000" w:sz="4" w:space="0"/>
            </w:tcBorders>
            <w:vAlign w:val="center"/>
          </w:tcPr>
          <w:p w14:paraId="5B6FFBEB">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《关于印发〈进一步优化供排水接入配套工程中政务服务实施方案〉的通知》（津水政服〔2021〕1号）</w:t>
            </w:r>
          </w:p>
        </w:tc>
        <w:tc>
          <w:tcPr>
            <w:tcW w:w="477" w:type="pct"/>
            <w:tcBorders>
              <w:top w:val="single" w:color="000000" w:sz="4" w:space="0"/>
              <w:left w:val="single" w:color="000000" w:sz="4" w:space="0"/>
              <w:bottom w:val="single" w:color="000000" w:sz="4" w:space="0"/>
              <w:right w:val="single" w:color="000000" w:sz="4" w:space="0"/>
            </w:tcBorders>
            <w:vAlign w:val="center"/>
          </w:tcPr>
          <w:p w14:paraId="589CFCE2">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CB301">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47425">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18C83DC4">
            <w:pPr>
              <w:spacing w:line="300" w:lineRule="exact"/>
              <w:rPr>
                <w:rFonts w:ascii="仿宋_GB2312" w:hAnsi="宋体" w:eastAsia="仿宋_GB2312" w:cs="仿宋_GB2312"/>
                <w:color w:val="000000"/>
                <w:sz w:val="24"/>
              </w:rPr>
            </w:pPr>
          </w:p>
        </w:tc>
      </w:tr>
      <w:tr w14:paraId="35332C0B">
        <w:tblPrEx>
          <w:tblCellMar>
            <w:top w:w="0" w:type="dxa"/>
            <w:left w:w="108" w:type="dxa"/>
            <w:bottom w:w="0" w:type="dxa"/>
            <w:right w:w="108" w:type="dxa"/>
          </w:tblCellMar>
        </w:tblPrEx>
        <w:trPr>
          <w:cantSplit/>
          <w:trHeight w:val="3880" w:hRule="atLeast"/>
        </w:trPr>
        <w:tc>
          <w:tcPr>
            <w:tcW w:w="206" w:type="pct"/>
            <w:vMerge w:val="continue"/>
            <w:tcBorders>
              <w:top w:val="single" w:color="000000" w:sz="4" w:space="0"/>
              <w:left w:val="single" w:color="000000" w:sz="4" w:space="0"/>
              <w:bottom w:val="single" w:color="000000" w:sz="4" w:space="0"/>
              <w:right w:val="single" w:color="000000" w:sz="4" w:space="0"/>
            </w:tcBorders>
            <w:vAlign w:val="center"/>
          </w:tcPr>
          <w:p w14:paraId="0EFB8AD3">
            <w:pPr>
              <w:spacing w:line="300" w:lineRule="exact"/>
              <w:jc w:val="center"/>
              <w:rPr>
                <w:rFonts w:eastAsia="仿宋_GB2312"/>
                <w:color w:val="000000"/>
                <w:kern w:val="0"/>
                <w:sz w:val="24"/>
                <w:lang w:bidi="ar"/>
              </w:rPr>
            </w:pPr>
          </w:p>
        </w:tc>
        <w:tc>
          <w:tcPr>
            <w:tcW w:w="269" w:type="pct"/>
            <w:vMerge w:val="continue"/>
            <w:tcBorders>
              <w:top w:val="single" w:color="000000" w:sz="4" w:space="0"/>
              <w:left w:val="single" w:color="000000" w:sz="4" w:space="0"/>
              <w:bottom w:val="single" w:color="000000" w:sz="4" w:space="0"/>
              <w:right w:val="single" w:color="000000" w:sz="4" w:space="0"/>
            </w:tcBorders>
            <w:vAlign w:val="center"/>
          </w:tcPr>
          <w:p w14:paraId="1B2C59FB">
            <w:pPr>
              <w:spacing w:line="300" w:lineRule="exact"/>
              <w:jc w:val="center"/>
              <w:rPr>
                <w:rFonts w:ascii="仿宋_GB2312" w:hAnsi="宋体" w:eastAsia="仿宋_GB2312" w:cs="仿宋_GB2312"/>
                <w:color w:val="000000"/>
                <w:sz w:val="24"/>
              </w:rPr>
            </w:pPr>
          </w:p>
        </w:tc>
        <w:tc>
          <w:tcPr>
            <w:tcW w:w="1221" w:type="pct"/>
            <w:vMerge w:val="continue"/>
            <w:tcBorders>
              <w:top w:val="single" w:color="000000" w:sz="4" w:space="0"/>
              <w:left w:val="single" w:color="000000" w:sz="4" w:space="0"/>
              <w:bottom w:val="single" w:color="000000" w:sz="4" w:space="0"/>
              <w:right w:val="single" w:color="000000" w:sz="4" w:space="0"/>
            </w:tcBorders>
            <w:vAlign w:val="center"/>
          </w:tcPr>
          <w:p w14:paraId="18EA766E">
            <w:pPr>
              <w:spacing w:line="300" w:lineRule="exact"/>
              <w:rPr>
                <w:rFonts w:eastAsia="仿宋_GB2312"/>
                <w:color w:val="000000"/>
                <w:kern w:val="0"/>
                <w:sz w:val="24"/>
                <w:lang w:bidi="ar"/>
              </w:rPr>
            </w:pPr>
          </w:p>
        </w:tc>
        <w:tc>
          <w:tcPr>
            <w:tcW w:w="545" w:type="pct"/>
            <w:tcBorders>
              <w:top w:val="single" w:color="000000" w:sz="4" w:space="0"/>
              <w:left w:val="single" w:color="000000" w:sz="4" w:space="0"/>
              <w:bottom w:val="single" w:color="000000" w:sz="4" w:space="0"/>
              <w:right w:val="single" w:color="000000" w:sz="4" w:space="0"/>
            </w:tcBorders>
            <w:vAlign w:val="center"/>
          </w:tcPr>
          <w:p w14:paraId="3521055E">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临时占用、挖掘城市道路及依附城市道路建设管线、杆线等设施许可</w:t>
            </w:r>
          </w:p>
        </w:tc>
        <w:tc>
          <w:tcPr>
            <w:tcW w:w="759" w:type="pct"/>
            <w:vMerge w:val="continue"/>
            <w:tcBorders>
              <w:top w:val="single" w:color="000000" w:sz="4" w:space="0"/>
              <w:left w:val="single" w:color="000000" w:sz="4" w:space="0"/>
              <w:bottom w:val="single" w:color="000000" w:sz="4" w:space="0"/>
              <w:right w:val="single" w:color="000000" w:sz="4" w:space="0"/>
            </w:tcBorders>
            <w:vAlign w:val="center"/>
          </w:tcPr>
          <w:p w14:paraId="6EA1312B">
            <w:pPr>
              <w:spacing w:line="300" w:lineRule="exact"/>
              <w:rPr>
                <w:rFonts w:eastAsia="仿宋_GB2312"/>
                <w:color w:val="000000"/>
                <w:kern w:val="0"/>
                <w:sz w:val="24"/>
                <w:lang w:bidi="ar"/>
              </w:rPr>
            </w:pPr>
          </w:p>
        </w:tc>
        <w:tc>
          <w:tcPr>
            <w:tcW w:w="477" w:type="pct"/>
            <w:tcBorders>
              <w:top w:val="single" w:color="000000" w:sz="4" w:space="0"/>
              <w:left w:val="single" w:color="000000" w:sz="4" w:space="0"/>
              <w:bottom w:val="single" w:color="000000" w:sz="4" w:space="0"/>
              <w:right w:val="single" w:color="000000" w:sz="4" w:space="0"/>
            </w:tcBorders>
            <w:vAlign w:val="center"/>
          </w:tcPr>
          <w:p w14:paraId="562C8235">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88CE">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C97C">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705FB529">
            <w:pPr>
              <w:spacing w:line="300" w:lineRule="exact"/>
              <w:rPr>
                <w:rFonts w:ascii="仿宋_GB2312" w:hAnsi="宋体" w:eastAsia="仿宋_GB2312" w:cs="仿宋_GB2312"/>
                <w:color w:val="000000"/>
                <w:sz w:val="24"/>
              </w:rPr>
            </w:pPr>
          </w:p>
        </w:tc>
      </w:tr>
      <w:tr w14:paraId="01F8A4C9">
        <w:tblPrEx>
          <w:tblCellMar>
            <w:top w:w="0" w:type="dxa"/>
            <w:left w:w="108" w:type="dxa"/>
            <w:bottom w:w="0" w:type="dxa"/>
            <w:right w:w="108" w:type="dxa"/>
          </w:tblCellMar>
        </w:tblPrEx>
        <w:trPr>
          <w:cantSplit/>
          <w:trHeight w:val="7666"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2BA478D6">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32</w:t>
            </w:r>
          </w:p>
        </w:tc>
        <w:tc>
          <w:tcPr>
            <w:tcW w:w="269" w:type="pct"/>
            <w:tcBorders>
              <w:top w:val="single" w:color="000000" w:sz="4" w:space="0"/>
              <w:left w:val="single" w:color="000000" w:sz="4" w:space="0"/>
              <w:bottom w:val="single" w:color="000000" w:sz="4" w:space="0"/>
              <w:right w:val="single" w:color="000000" w:sz="4" w:space="0"/>
            </w:tcBorders>
            <w:vAlign w:val="center"/>
          </w:tcPr>
          <w:p w14:paraId="26606210">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市城市管理委</w:t>
            </w:r>
          </w:p>
        </w:tc>
        <w:tc>
          <w:tcPr>
            <w:tcW w:w="1221" w:type="pct"/>
            <w:tcBorders>
              <w:top w:val="single" w:color="000000" w:sz="4" w:space="0"/>
              <w:left w:val="single" w:color="000000" w:sz="4" w:space="0"/>
              <w:bottom w:val="single" w:color="000000" w:sz="4" w:space="0"/>
              <w:right w:val="single" w:color="000000" w:sz="4" w:space="0"/>
            </w:tcBorders>
            <w:vAlign w:val="center"/>
          </w:tcPr>
          <w:p w14:paraId="4A8B4CCF">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明确电力工程项目涉绿相关工程费用，电力工程项目在占用城市绿地时，要提前与产权单位沟通，优化占绿方案，最大限度保护现有城市树木，经产权单位同意并与其签订赔偿协议后方可施工。路径长度不大于200米的110千伏及以上电力线路工程临时占用城市绿化用地的，依据规划资源部门审批的行政许可手续核定占用绿地位置并与产权单位签订赔偿协议后即可施工，不再办理相关审批手续，涉及树木迁移的，应当事先告知城市管理主管部门，并报送符合有关标准规范的城市树木迁移方案。实现电源送出功能的环网箱、控制箱、杆塔等电力设施永久占用绿化用地的，依据规划资源部门审批的行政许可手续核定占用绿地位置并与产权单位签订赔偿协议后即可施工，涉及树木迁移的，应当事先告知城市管理主管部门，并报送符合有关标准规范的城市树木迁移方案。</w:t>
            </w:r>
          </w:p>
        </w:tc>
        <w:tc>
          <w:tcPr>
            <w:tcW w:w="545" w:type="pct"/>
            <w:tcBorders>
              <w:top w:val="single" w:color="000000" w:sz="4" w:space="0"/>
              <w:left w:val="single" w:color="000000" w:sz="4" w:space="0"/>
              <w:bottom w:val="single" w:color="000000" w:sz="4" w:space="0"/>
              <w:right w:val="single" w:color="000000" w:sz="4" w:space="0"/>
            </w:tcBorders>
            <w:vAlign w:val="center"/>
          </w:tcPr>
          <w:p w14:paraId="18786887">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临时占用城市绿化用地许可</w:t>
            </w:r>
          </w:p>
        </w:tc>
        <w:tc>
          <w:tcPr>
            <w:tcW w:w="759" w:type="pct"/>
            <w:tcBorders>
              <w:top w:val="single" w:color="000000" w:sz="4" w:space="0"/>
              <w:left w:val="single" w:color="000000" w:sz="4" w:space="0"/>
              <w:bottom w:val="single" w:color="000000" w:sz="4" w:space="0"/>
              <w:right w:val="single" w:color="000000" w:sz="4" w:space="0"/>
            </w:tcBorders>
            <w:vAlign w:val="center"/>
          </w:tcPr>
          <w:p w14:paraId="640FDA8C">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《深化电力领域审批制度改革优化电力工程建设审批流程工作方案》（津政服〔2022〕15号）</w:t>
            </w:r>
          </w:p>
        </w:tc>
        <w:tc>
          <w:tcPr>
            <w:tcW w:w="477" w:type="pct"/>
            <w:tcBorders>
              <w:top w:val="single" w:color="000000" w:sz="4" w:space="0"/>
              <w:left w:val="single" w:color="000000" w:sz="4" w:space="0"/>
              <w:bottom w:val="single" w:color="000000" w:sz="4" w:space="0"/>
              <w:right w:val="single" w:color="000000" w:sz="4" w:space="0"/>
            </w:tcBorders>
            <w:vAlign w:val="center"/>
          </w:tcPr>
          <w:p w14:paraId="4D51DC31">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highlight w:val="none"/>
                <w:lang w:val="en-US" w:eastAsia="zh-CN"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D8A0A">
            <w:pPr>
              <w:widowControl/>
              <w:spacing w:line="300" w:lineRule="exact"/>
              <w:jc w:val="center"/>
              <w:textAlignment w:val="center"/>
              <w:rPr>
                <w:rFonts w:hint="eastAsia"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B142">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565B9908">
            <w:pPr>
              <w:spacing w:line="300" w:lineRule="exact"/>
              <w:rPr>
                <w:rFonts w:ascii="仿宋_GB2312" w:hAnsi="宋体" w:eastAsia="仿宋_GB2312" w:cs="仿宋_GB2312"/>
                <w:color w:val="000000"/>
                <w:sz w:val="24"/>
              </w:rPr>
            </w:pPr>
          </w:p>
        </w:tc>
      </w:tr>
      <w:tr w14:paraId="267074E2">
        <w:tblPrEx>
          <w:tblCellMar>
            <w:top w:w="0" w:type="dxa"/>
            <w:left w:w="108" w:type="dxa"/>
            <w:bottom w:w="0" w:type="dxa"/>
            <w:right w:w="108" w:type="dxa"/>
          </w:tblCellMar>
        </w:tblPrEx>
        <w:trPr>
          <w:cantSplit/>
          <w:trHeight w:val="1920" w:hRule="atLeast"/>
        </w:trPr>
        <w:tc>
          <w:tcPr>
            <w:tcW w:w="206" w:type="pct"/>
            <w:tcBorders>
              <w:top w:val="single" w:color="000000" w:sz="4" w:space="0"/>
              <w:left w:val="single" w:color="000000" w:sz="4" w:space="0"/>
              <w:bottom w:val="single" w:color="000000" w:sz="4" w:space="0"/>
              <w:right w:val="single" w:color="000000" w:sz="4" w:space="0"/>
            </w:tcBorders>
            <w:vAlign w:val="center"/>
          </w:tcPr>
          <w:p w14:paraId="3F6E0152">
            <w:pPr>
              <w:widowControl/>
              <w:spacing w:line="300" w:lineRule="exact"/>
              <w:jc w:val="center"/>
              <w:textAlignment w:val="center"/>
              <w:rPr>
                <w:rFonts w:hint="default" w:eastAsia="仿宋_GB2312"/>
                <w:color w:val="000000"/>
                <w:kern w:val="0"/>
                <w:sz w:val="24"/>
                <w:lang w:val="en-US" w:eastAsia="zh-CN" w:bidi="ar"/>
              </w:rPr>
            </w:pPr>
            <w:r>
              <w:rPr>
                <w:rFonts w:hint="eastAsia" w:eastAsia="仿宋_GB2312"/>
                <w:color w:val="000000"/>
                <w:kern w:val="0"/>
                <w:sz w:val="24"/>
                <w:lang w:val="en-US" w:eastAsia="zh-CN" w:bidi="ar"/>
              </w:rPr>
              <w:t>33</w:t>
            </w:r>
          </w:p>
        </w:tc>
        <w:tc>
          <w:tcPr>
            <w:tcW w:w="269" w:type="pct"/>
            <w:tcBorders>
              <w:top w:val="single" w:color="000000" w:sz="4" w:space="0"/>
              <w:left w:val="single" w:color="000000" w:sz="4" w:space="0"/>
              <w:bottom w:val="single" w:color="000000" w:sz="4" w:space="0"/>
              <w:right w:val="single" w:color="000000" w:sz="4" w:space="0"/>
            </w:tcBorders>
            <w:vAlign w:val="center"/>
          </w:tcPr>
          <w:p w14:paraId="74CF2F2F">
            <w:pPr>
              <w:widowControl/>
              <w:spacing w:line="300" w:lineRule="exact"/>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市水务局</w:t>
            </w:r>
          </w:p>
        </w:tc>
        <w:tc>
          <w:tcPr>
            <w:tcW w:w="1221" w:type="pct"/>
            <w:tcBorders>
              <w:top w:val="single" w:color="000000" w:sz="4" w:space="0"/>
              <w:left w:val="single" w:color="000000" w:sz="4" w:space="0"/>
              <w:bottom w:val="single" w:color="000000" w:sz="4" w:space="0"/>
              <w:right w:val="single" w:color="000000" w:sz="4" w:space="0"/>
            </w:tcBorders>
            <w:vAlign w:val="center"/>
          </w:tcPr>
          <w:p w14:paraId="417A8CE1">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征占地面积不足1公顷且挖填土石方总量不足1万立方米的项目，不再办理生产建设项目水土保持方案许可。</w:t>
            </w:r>
          </w:p>
        </w:tc>
        <w:tc>
          <w:tcPr>
            <w:tcW w:w="545" w:type="pct"/>
            <w:tcBorders>
              <w:top w:val="single" w:color="000000" w:sz="4" w:space="0"/>
              <w:left w:val="single" w:color="000000" w:sz="4" w:space="0"/>
              <w:bottom w:val="single" w:color="000000" w:sz="4" w:space="0"/>
              <w:right w:val="single" w:color="000000" w:sz="4" w:space="0"/>
            </w:tcBorders>
            <w:vAlign w:val="center"/>
          </w:tcPr>
          <w:p w14:paraId="5F828899">
            <w:pPr>
              <w:widowControl/>
              <w:spacing w:line="300" w:lineRule="exact"/>
              <w:textAlignment w:val="center"/>
              <w:rPr>
                <w:rFonts w:eastAsia="仿宋_GB2312"/>
                <w:color w:val="000000"/>
                <w:kern w:val="0"/>
                <w:sz w:val="24"/>
                <w:lang w:bidi="ar"/>
              </w:rPr>
            </w:pPr>
            <w:r>
              <w:rPr>
                <w:rFonts w:hint="eastAsia" w:eastAsia="仿宋_GB2312"/>
                <w:color w:val="000000"/>
                <w:kern w:val="0"/>
                <w:sz w:val="24"/>
                <w:lang w:bidi="ar"/>
              </w:rPr>
              <w:t>生产建设项目水土保持方案审批</w:t>
            </w:r>
          </w:p>
        </w:tc>
        <w:tc>
          <w:tcPr>
            <w:tcW w:w="759" w:type="pct"/>
            <w:tcBorders>
              <w:top w:val="single" w:color="000000" w:sz="4" w:space="0"/>
              <w:left w:val="single" w:color="000000" w:sz="4" w:space="0"/>
              <w:bottom w:val="single" w:color="000000" w:sz="4" w:space="0"/>
              <w:right w:val="single" w:color="000000" w:sz="4" w:space="0"/>
            </w:tcBorders>
            <w:vAlign w:val="center"/>
          </w:tcPr>
          <w:p w14:paraId="5E4708FC">
            <w:pPr>
              <w:widowControl/>
              <w:spacing w:line="300" w:lineRule="exact"/>
              <w:textAlignment w:val="center"/>
              <w:rPr>
                <w:rFonts w:eastAsia="仿宋_GB2312"/>
                <w:color w:val="000000"/>
                <w:kern w:val="0"/>
                <w:sz w:val="24"/>
                <w:lang w:bidi="ar"/>
              </w:rPr>
            </w:pPr>
            <w:r>
              <w:rPr>
                <w:rFonts w:eastAsia="仿宋_GB2312"/>
                <w:color w:val="000000"/>
                <w:kern w:val="0"/>
                <w:sz w:val="24"/>
                <w:lang w:bidi="ar"/>
              </w:rPr>
              <w:t>《关于印发进一步深化“放管服”改革全面加强水土保持监管实施意见的通知》（津水政服〔2019〕1号）</w:t>
            </w:r>
          </w:p>
        </w:tc>
        <w:tc>
          <w:tcPr>
            <w:tcW w:w="477" w:type="pct"/>
            <w:tcBorders>
              <w:top w:val="single" w:color="000000" w:sz="4" w:space="0"/>
              <w:left w:val="single" w:color="000000" w:sz="4" w:space="0"/>
              <w:bottom w:val="single" w:color="000000" w:sz="4" w:space="0"/>
              <w:right w:val="single" w:color="000000" w:sz="4" w:space="0"/>
            </w:tcBorders>
            <w:vAlign w:val="center"/>
          </w:tcPr>
          <w:p w14:paraId="506844E6">
            <w:pPr>
              <w:widowControl/>
              <w:spacing w:line="300" w:lineRule="exact"/>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区行政审批局</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71AB0">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审批一科</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3FA30">
            <w:pPr>
              <w:widowControl/>
              <w:spacing w:line="300" w:lineRule="exact"/>
              <w:jc w:val="center"/>
              <w:textAlignment w:val="center"/>
              <w:rPr>
                <w:rFonts w:hint="default" w:ascii="Times New Roman" w:hAnsi="Times New Roman" w:eastAsia="仿宋_GB2312" w:cs="Times New Roman"/>
                <w:color w:val="000000"/>
                <w:kern w:val="0"/>
                <w:sz w:val="24"/>
                <w:szCs w:val="24"/>
                <w:lang w:val="en-US" w:eastAsia="zh-CN" w:bidi="ar"/>
              </w:rPr>
            </w:pPr>
            <w:r>
              <w:rPr>
                <w:rFonts w:hint="eastAsia" w:eastAsia="仿宋_GB2312"/>
                <w:color w:val="000000"/>
                <w:kern w:val="0"/>
                <w:sz w:val="24"/>
                <w:lang w:val="en-US" w:eastAsia="zh-CN" w:bidi="ar"/>
              </w:rPr>
              <w:t>刘宗强69119626</w:t>
            </w:r>
          </w:p>
        </w:tc>
        <w:tc>
          <w:tcPr>
            <w:tcW w:w="756" w:type="pct"/>
            <w:tcBorders>
              <w:top w:val="single" w:color="000000" w:sz="4" w:space="0"/>
              <w:left w:val="single" w:color="000000" w:sz="4" w:space="0"/>
              <w:bottom w:val="single" w:color="000000" w:sz="4" w:space="0"/>
              <w:right w:val="single" w:color="000000" w:sz="4" w:space="0"/>
            </w:tcBorders>
            <w:vAlign w:val="center"/>
          </w:tcPr>
          <w:p w14:paraId="3FA40294">
            <w:pPr>
              <w:spacing w:line="300" w:lineRule="exact"/>
              <w:rPr>
                <w:rFonts w:ascii="仿宋_GB2312" w:hAnsi="宋体" w:eastAsia="仿宋_GB2312" w:cs="仿宋_GB2312"/>
                <w:color w:val="000000"/>
                <w:sz w:val="24"/>
              </w:rPr>
            </w:pPr>
          </w:p>
        </w:tc>
      </w:tr>
    </w:tbl>
    <w:p w14:paraId="71CCEC77">
      <w:pPr>
        <w:spacing w:line="579" w:lineRule="exact"/>
      </w:pPr>
    </w:p>
    <w:p w14:paraId="31B8A9F3"/>
    <w:p w14:paraId="4BA14827">
      <w:pPr>
        <w:pStyle w:val="2"/>
        <w:spacing w:line="600" w:lineRule="exact"/>
        <w:rPr>
          <w:rFonts w:ascii="仿宋_GB2312" w:eastAsia="仿宋_GB2312"/>
          <w:sz w:val="28"/>
          <w:szCs w:val="28"/>
        </w:rPr>
      </w:pPr>
    </w:p>
    <w:sectPr>
      <w:headerReference r:id="rId3" w:type="first"/>
      <w:footerReference r:id="rId6" w:type="first"/>
      <w:footerReference r:id="rId4" w:type="default"/>
      <w:footerReference r:id="rId5" w:type="even"/>
      <w:pgSz w:w="16838" w:h="11906" w:orient="landscape"/>
      <w:pgMar w:top="1134" w:right="1134" w:bottom="1134" w:left="1134" w:header="851" w:footer="1417" w:gutter="0"/>
      <w:pgNumType w:fmt="decimal"/>
      <w:cols w:space="0" w:num="1"/>
      <w:titlePg/>
      <w:rtlGutter w:val="0"/>
      <w:docGrid w:type="linesAndChars" w:linePitch="595"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隶书_GBK">
    <w:altName w:val="宋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54DD4">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E54C30">
                          <w:pPr>
                            <w:pStyle w:val="6"/>
                            <w:rPr>
                              <w:rFonts w:hint="eastAsia" w:asciiTheme="minorEastAsia" w:hAnsiTheme="minorEastAsia" w:eastAsiaTheme="minorEastAsia" w:cstheme="minorEastAsia"/>
                            </w:rPr>
                          </w:pPr>
                          <w:r>
                            <w:rPr>
                              <w:rStyle w:val="12"/>
                              <w:rFonts w:hint="eastAsia" w:asciiTheme="minorEastAsia" w:hAnsiTheme="minorEastAsia" w:eastAsiaTheme="minorEastAsia" w:cstheme="minorEastAsia"/>
                              <w:color w:val="FFFFFF"/>
                              <w:sz w:val="28"/>
                              <w:szCs w:val="28"/>
                            </w:rPr>
                            <w:t>–—</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Style w:val="12"/>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2</w:t>
                          </w:r>
                          <w:r>
                            <w:rPr>
                              <w:rStyle w:val="12"/>
                              <w:rFonts w:hint="eastAsia" w:asciiTheme="minorEastAsia" w:hAnsiTheme="minorEastAsia" w:eastAsiaTheme="minorEastAsia" w:cstheme="minorEastAsia"/>
                              <w:sz w:val="28"/>
                              <w:szCs w:val="28"/>
                            </w:rPr>
                            <w:fldChar w:fldCharType="end"/>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color w:val="FFFFFF"/>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E54C30">
                    <w:pPr>
                      <w:pStyle w:val="6"/>
                      <w:rPr>
                        <w:rFonts w:hint="eastAsia" w:asciiTheme="minorEastAsia" w:hAnsiTheme="minorEastAsia" w:eastAsiaTheme="minorEastAsia" w:cstheme="minorEastAsia"/>
                      </w:rPr>
                    </w:pPr>
                    <w:r>
                      <w:rPr>
                        <w:rStyle w:val="12"/>
                        <w:rFonts w:hint="eastAsia" w:asciiTheme="minorEastAsia" w:hAnsiTheme="minorEastAsia" w:eastAsiaTheme="minorEastAsia" w:cstheme="minorEastAsia"/>
                        <w:color w:val="FFFFFF"/>
                        <w:sz w:val="28"/>
                        <w:szCs w:val="28"/>
                      </w:rPr>
                      <w:t>–—</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fldChar w:fldCharType="begin"/>
                    </w:r>
                    <w:r>
                      <w:rPr>
                        <w:rStyle w:val="12"/>
                        <w:rFonts w:hint="eastAsia" w:asciiTheme="minorEastAsia" w:hAnsiTheme="minorEastAsia" w:eastAsiaTheme="minorEastAsia" w:cstheme="minorEastAsia"/>
                        <w:sz w:val="28"/>
                        <w:szCs w:val="28"/>
                      </w:rPr>
                      <w:instrText xml:space="preserve">PAGE  </w:instrText>
                    </w:r>
                    <w:r>
                      <w:rPr>
                        <w:rStyle w:val="12"/>
                        <w:rFonts w:hint="eastAsia" w:asciiTheme="minorEastAsia" w:hAnsiTheme="minorEastAsia" w:eastAsiaTheme="minorEastAsia" w:cstheme="minorEastAsia"/>
                        <w:sz w:val="28"/>
                        <w:szCs w:val="28"/>
                      </w:rPr>
                      <w:fldChar w:fldCharType="separate"/>
                    </w:r>
                    <w:r>
                      <w:rPr>
                        <w:rStyle w:val="12"/>
                        <w:rFonts w:hint="eastAsia" w:asciiTheme="minorEastAsia" w:hAnsiTheme="minorEastAsia" w:eastAsiaTheme="minorEastAsia" w:cstheme="minorEastAsia"/>
                        <w:sz w:val="28"/>
                        <w:szCs w:val="28"/>
                      </w:rPr>
                      <w:t>2</w:t>
                    </w:r>
                    <w:r>
                      <w:rPr>
                        <w:rStyle w:val="12"/>
                        <w:rFonts w:hint="eastAsia" w:asciiTheme="minorEastAsia" w:hAnsiTheme="minorEastAsia" w:eastAsiaTheme="minorEastAsia" w:cstheme="minorEastAsia"/>
                        <w:sz w:val="28"/>
                        <w:szCs w:val="28"/>
                      </w:rPr>
                      <w:fldChar w:fldCharType="end"/>
                    </w:r>
                    <w:r>
                      <w:rPr>
                        <w:rStyle w:val="12"/>
                        <w:rFonts w:hint="eastAsia" w:asciiTheme="minorEastAsia" w:hAnsiTheme="minorEastAsia" w:eastAsiaTheme="minorEastAsia" w:cstheme="minorEastAsia"/>
                        <w:sz w:val="28"/>
                        <w:szCs w:val="28"/>
                        <w:lang w:val="en-US" w:eastAsia="zh-CN"/>
                      </w:rPr>
                      <w:t xml:space="preserve"> </w:t>
                    </w:r>
                    <w:r>
                      <w:rPr>
                        <w:rStyle w:val="12"/>
                        <w:rFonts w:hint="eastAsia" w:asciiTheme="minorEastAsia" w:hAnsiTheme="minorEastAsia" w:eastAsiaTheme="minorEastAsia" w:cstheme="minorEastAsia"/>
                        <w:sz w:val="28"/>
                        <w:szCs w:val="28"/>
                      </w:rPr>
                      <w:t>—</w:t>
                    </w:r>
                    <w:r>
                      <w:rPr>
                        <w:rStyle w:val="12"/>
                        <w:rFonts w:hint="eastAsia" w:asciiTheme="minorEastAsia" w:hAnsiTheme="minorEastAsia" w:eastAsiaTheme="minorEastAsia" w:cstheme="minor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B93C3">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1C750E77">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38A1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117DC">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1117DC">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596C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5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ZWU4OGVhYzMwMWJlNWVhNTNlNTJkYjg5ZjNkZDcifQ=="/>
  </w:docVars>
  <w:rsids>
    <w:rsidRoot w:val="00762465"/>
    <w:rsid w:val="00003019"/>
    <w:rsid w:val="00010637"/>
    <w:rsid w:val="00013643"/>
    <w:rsid w:val="00027FFE"/>
    <w:rsid w:val="00040652"/>
    <w:rsid w:val="000738F6"/>
    <w:rsid w:val="00094794"/>
    <w:rsid w:val="0009519F"/>
    <w:rsid w:val="000B117A"/>
    <w:rsid w:val="000D52E7"/>
    <w:rsid w:val="000E4B1A"/>
    <w:rsid w:val="00137174"/>
    <w:rsid w:val="00143FCC"/>
    <w:rsid w:val="00154773"/>
    <w:rsid w:val="0015554C"/>
    <w:rsid w:val="001714A3"/>
    <w:rsid w:val="0017541E"/>
    <w:rsid w:val="001968AF"/>
    <w:rsid w:val="001C28B8"/>
    <w:rsid w:val="001F3831"/>
    <w:rsid w:val="002127B6"/>
    <w:rsid w:val="00216AA6"/>
    <w:rsid w:val="00271B0D"/>
    <w:rsid w:val="0027234A"/>
    <w:rsid w:val="00272F1E"/>
    <w:rsid w:val="002B5E33"/>
    <w:rsid w:val="002C76D8"/>
    <w:rsid w:val="002D7B9C"/>
    <w:rsid w:val="002F4EF6"/>
    <w:rsid w:val="00303B5C"/>
    <w:rsid w:val="00306F0B"/>
    <w:rsid w:val="003269F2"/>
    <w:rsid w:val="0037165F"/>
    <w:rsid w:val="00373BAA"/>
    <w:rsid w:val="00383E6F"/>
    <w:rsid w:val="00394FFD"/>
    <w:rsid w:val="003D2B39"/>
    <w:rsid w:val="00400DAA"/>
    <w:rsid w:val="00401683"/>
    <w:rsid w:val="00432C3D"/>
    <w:rsid w:val="004738D1"/>
    <w:rsid w:val="00482490"/>
    <w:rsid w:val="0048471F"/>
    <w:rsid w:val="00496ADE"/>
    <w:rsid w:val="004A5A26"/>
    <w:rsid w:val="004C7427"/>
    <w:rsid w:val="004D39E8"/>
    <w:rsid w:val="004D6680"/>
    <w:rsid w:val="004F4AA7"/>
    <w:rsid w:val="004F5E90"/>
    <w:rsid w:val="005218F2"/>
    <w:rsid w:val="00525F2C"/>
    <w:rsid w:val="00542B19"/>
    <w:rsid w:val="005567D0"/>
    <w:rsid w:val="005600E7"/>
    <w:rsid w:val="005B0058"/>
    <w:rsid w:val="005D3006"/>
    <w:rsid w:val="005E69EE"/>
    <w:rsid w:val="005F3A8E"/>
    <w:rsid w:val="005F4D29"/>
    <w:rsid w:val="00635C3F"/>
    <w:rsid w:val="0064104E"/>
    <w:rsid w:val="006503B8"/>
    <w:rsid w:val="00652BD5"/>
    <w:rsid w:val="006601DC"/>
    <w:rsid w:val="0066755A"/>
    <w:rsid w:val="00670B65"/>
    <w:rsid w:val="00671B95"/>
    <w:rsid w:val="006A7735"/>
    <w:rsid w:val="006C5546"/>
    <w:rsid w:val="006D6618"/>
    <w:rsid w:val="006F2918"/>
    <w:rsid w:val="007065AA"/>
    <w:rsid w:val="00720A1E"/>
    <w:rsid w:val="007221C5"/>
    <w:rsid w:val="00723A84"/>
    <w:rsid w:val="007378F4"/>
    <w:rsid w:val="00740681"/>
    <w:rsid w:val="007440E1"/>
    <w:rsid w:val="0074484F"/>
    <w:rsid w:val="00753BD7"/>
    <w:rsid w:val="00754840"/>
    <w:rsid w:val="00762465"/>
    <w:rsid w:val="007748E5"/>
    <w:rsid w:val="0077632D"/>
    <w:rsid w:val="0078719E"/>
    <w:rsid w:val="00794750"/>
    <w:rsid w:val="007A566F"/>
    <w:rsid w:val="007C0294"/>
    <w:rsid w:val="007D5AD9"/>
    <w:rsid w:val="007E339F"/>
    <w:rsid w:val="007E756C"/>
    <w:rsid w:val="00813344"/>
    <w:rsid w:val="00825AD2"/>
    <w:rsid w:val="008270A5"/>
    <w:rsid w:val="00833925"/>
    <w:rsid w:val="008404E0"/>
    <w:rsid w:val="00841AE5"/>
    <w:rsid w:val="00857373"/>
    <w:rsid w:val="00867EF1"/>
    <w:rsid w:val="00870DD9"/>
    <w:rsid w:val="00872E49"/>
    <w:rsid w:val="00895934"/>
    <w:rsid w:val="008A50FD"/>
    <w:rsid w:val="008C219B"/>
    <w:rsid w:val="008C4AAE"/>
    <w:rsid w:val="008D6EA2"/>
    <w:rsid w:val="00914A93"/>
    <w:rsid w:val="00914C67"/>
    <w:rsid w:val="00917DD6"/>
    <w:rsid w:val="009415ED"/>
    <w:rsid w:val="00960D11"/>
    <w:rsid w:val="0097322C"/>
    <w:rsid w:val="00977A17"/>
    <w:rsid w:val="009B043E"/>
    <w:rsid w:val="009B1845"/>
    <w:rsid w:val="009B4D9E"/>
    <w:rsid w:val="009D79E3"/>
    <w:rsid w:val="009E6673"/>
    <w:rsid w:val="00A23452"/>
    <w:rsid w:val="00A32FCA"/>
    <w:rsid w:val="00A33354"/>
    <w:rsid w:val="00A40728"/>
    <w:rsid w:val="00A41C28"/>
    <w:rsid w:val="00A615C5"/>
    <w:rsid w:val="00A70823"/>
    <w:rsid w:val="00A96D5F"/>
    <w:rsid w:val="00AB2037"/>
    <w:rsid w:val="00AD1D07"/>
    <w:rsid w:val="00AE3E48"/>
    <w:rsid w:val="00B04F37"/>
    <w:rsid w:val="00B05156"/>
    <w:rsid w:val="00B20C84"/>
    <w:rsid w:val="00B635E4"/>
    <w:rsid w:val="00B9608B"/>
    <w:rsid w:val="00B96B4B"/>
    <w:rsid w:val="00B97D94"/>
    <w:rsid w:val="00BB48E6"/>
    <w:rsid w:val="00BC6627"/>
    <w:rsid w:val="00BE4FEB"/>
    <w:rsid w:val="00BF1D82"/>
    <w:rsid w:val="00BF2536"/>
    <w:rsid w:val="00BF3AD6"/>
    <w:rsid w:val="00C1014E"/>
    <w:rsid w:val="00C11327"/>
    <w:rsid w:val="00C1238D"/>
    <w:rsid w:val="00C36564"/>
    <w:rsid w:val="00C44831"/>
    <w:rsid w:val="00C83F41"/>
    <w:rsid w:val="00C8442C"/>
    <w:rsid w:val="00CD5A45"/>
    <w:rsid w:val="00CD7BD7"/>
    <w:rsid w:val="00CE7D5C"/>
    <w:rsid w:val="00CF5D50"/>
    <w:rsid w:val="00D35382"/>
    <w:rsid w:val="00D466C8"/>
    <w:rsid w:val="00D61942"/>
    <w:rsid w:val="00D7354D"/>
    <w:rsid w:val="00D87C91"/>
    <w:rsid w:val="00D9110D"/>
    <w:rsid w:val="00E10D75"/>
    <w:rsid w:val="00E22481"/>
    <w:rsid w:val="00E551F9"/>
    <w:rsid w:val="00E754E4"/>
    <w:rsid w:val="00E9606C"/>
    <w:rsid w:val="00E97580"/>
    <w:rsid w:val="00EC6262"/>
    <w:rsid w:val="00F03296"/>
    <w:rsid w:val="00F1031D"/>
    <w:rsid w:val="00F37F06"/>
    <w:rsid w:val="00F479CB"/>
    <w:rsid w:val="00F6359D"/>
    <w:rsid w:val="00F91669"/>
    <w:rsid w:val="00F94D32"/>
    <w:rsid w:val="00FA1034"/>
    <w:rsid w:val="00FA4477"/>
    <w:rsid w:val="00FC0E90"/>
    <w:rsid w:val="00FC0F83"/>
    <w:rsid w:val="00FF089F"/>
    <w:rsid w:val="11437091"/>
    <w:rsid w:val="135A5360"/>
    <w:rsid w:val="16643CA5"/>
    <w:rsid w:val="236757DC"/>
    <w:rsid w:val="2DCB9863"/>
    <w:rsid w:val="37E36F12"/>
    <w:rsid w:val="3AD72D0F"/>
    <w:rsid w:val="3F7FCC52"/>
    <w:rsid w:val="45281D9B"/>
    <w:rsid w:val="4B187071"/>
    <w:rsid w:val="536E73F9"/>
    <w:rsid w:val="55773B21"/>
    <w:rsid w:val="5FFF28FC"/>
    <w:rsid w:val="63C630B1"/>
    <w:rsid w:val="67392D97"/>
    <w:rsid w:val="6BDBF5C8"/>
    <w:rsid w:val="775929C1"/>
    <w:rsid w:val="7ADB647C"/>
    <w:rsid w:val="7DDC8016"/>
    <w:rsid w:val="BBDF0987"/>
    <w:rsid w:val="BEFF5A94"/>
    <w:rsid w:val="CFFF3769"/>
    <w:rsid w:val="EBF931BD"/>
    <w:rsid w:val="EFCD34E4"/>
    <w:rsid w:val="F2F77C37"/>
    <w:rsid w:val="FF7BC722"/>
    <w:rsid w:val="FFBF9D6E"/>
    <w:rsid w:val="FFFD9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szCs w:val="20"/>
    </w:rPr>
  </w:style>
  <w:style w:type="paragraph" w:styleId="3">
    <w:name w:val="Body Text Indent"/>
    <w:basedOn w:val="1"/>
    <w:qFormat/>
    <w:uiPriority w:val="0"/>
    <w:pPr>
      <w:ind w:firstLine="360"/>
    </w:pPr>
    <w:rPr>
      <w:szCs w:val="20"/>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character" w:styleId="11">
    <w:name w:val="Strong"/>
    <w:qFormat/>
    <w:uiPriority w:val="0"/>
    <w:rPr>
      <w:b/>
      <w:bCs/>
    </w:rPr>
  </w:style>
  <w:style w:type="character" w:styleId="12">
    <w:name w:val="page number"/>
    <w:basedOn w:val="10"/>
    <w:qFormat/>
    <w:uiPriority w:val="0"/>
  </w:style>
  <w:style w:type="character" w:styleId="13">
    <w:name w:val="footnote reference"/>
    <w:semiHidden/>
    <w:qFormat/>
    <w:uiPriority w:val="0"/>
    <w:rPr>
      <w:vertAlign w:val="superscript"/>
    </w:rPr>
  </w:style>
  <w:style w:type="paragraph" w:customStyle="1" w:styleId="14">
    <w:name w:val="默认段落字体 Para Char Char Char Char Char Char Char"/>
    <w:basedOn w:val="1"/>
    <w:qFormat/>
    <w:uiPriority w:val="0"/>
    <w:rPr>
      <w:rFonts w:ascii="Tahoma" w:hAnsi="Tahoma"/>
      <w:sz w:val="24"/>
      <w:szCs w:val="20"/>
    </w:rPr>
  </w:style>
  <w:style w:type="paragraph" w:customStyle="1" w:styleId="15">
    <w:name w:val="列出段落1"/>
    <w:basedOn w:val="1"/>
    <w:qFormat/>
    <w:uiPriority w:val="0"/>
    <w:pPr>
      <w:ind w:firstLine="420" w:firstLineChars="200"/>
    </w:pPr>
    <w:rPr>
      <w:rFonts w:ascii="Calibri" w:hAnsi="Calibri"/>
      <w:szCs w:val="22"/>
    </w:rPr>
  </w:style>
  <w:style w:type="paragraph" w:customStyle="1" w:styleId="16">
    <w:name w:val="样式2"/>
    <w:basedOn w:val="1"/>
    <w:link w:val="17"/>
    <w:qFormat/>
    <w:uiPriority w:val="0"/>
    <w:pPr>
      <w:jc w:val="center"/>
    </w:pPr>
    <w:rPr>
      <w:rFonts w:ascii="方正小标宋简体" w:hAnsi="Calibri" w:eastAsia="方正小标宋简体"/>
      <w:color w:val="FF0000"/>
      <w:w w:val="50"/>
      <w:sz w:val="110"/>
      <w:szCs w:val="110"/>
    </w:rPr>
  </w:style>
  <w:style w:type="character" w:customStyle="1" w:styleId="17">
    <w:name w:val="样式2 Char"/>
    <w:basedOn w:val="10"/>
    <w:link w:val="16"/>
    <w:qFormat/>
    <w:uiPriority w:val="0"/>
    <w:rPr>
      <w:rFonts w:ascii="方正小标宋简体" w:hAnsi="Calibri" w:eastAsia="方正小标宋简体"/>
      <w:color w:val="FF0000"/>
      <w:w w:val="50"/>
      <w:kern w:val="2"/>
      <w:sz w:val="110"/>
      <w:szCs w:val="110"/>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character" w:customStyle="1" w:styleId="26">
    <w:name w:val="font31"/>
    <w:basedOn w:val="10"/>
    <w:qFormat/>
    <w:uiPriority w:val="0"/>
    <w:rPr>
      <w:rFonts w:hint="eastAsia" w:ascii="仿宋_GB2312" w:eastAsia="仿宋_GB2312" w:cs="仿宋_GB2312"/>
      <w:color w:val="000000"/>
      <w:sz w:val="24"/>
      <w:szCs w:val="24"/>
      <w:u w:val="none"/>
    </w:rPr>
  </w:style>
  <w:style w:type="character" w:customStyle="1" w:styleId="27">
    <w:name w:val="font161"/>
    <w:basedOn w:val="10"/>
    <w:qFormat/>
    <w:uiPriority w:val="0"/>
    <w:rPr>
      <w:rFonts w:hint="default" w:ascii="Times New Roman" w:hAnsi="Times New Roman" w:cs="Times New Roman"/>
      <w:color w:val="000000"/>
      <w:sz w:val="24"/>
      <w:szCs w:val="24"/>
      <w:u w:val="none"/>
    </w:rPr>
  </w:style>
  <w:style w:type="character" w:customStyle="1" w:styleId="28">
    <w:name w:val="font131"/>
    <w:basedOn w:val="10"/>
    <w:qFormat/>
    <w:uiPriority w:val="0"/>
    <w:rPr>
      <w:rFonts w:hint="eastAsia" w:ascii="仿宋_GB2312" w:eastAsia="仿宋_GB2312" w:cs="仿宋_GB2312"/>
      <w:color w:val="000000"/>
      <w:sz w:val="24"/>
      <w:szCs w:val="24"/>
      <w:u w:val="none"/>
    </w:rPr>
  </w:style>
  <w:style w:type="character" w:customStyle="1" w:styleId="29">
    <w:name w:val="font51"/>
    <w:basedOn w:val="10"/>
    <w:qFormat/>
    <w:uiPriority w:val="0"/>
    <w:rPr>
      <w:rFonts w:hint="eastAsia" w:ascii="仿宋_GB2312" w:eastAsia="仿宋_GB2312" w:cs="仿宋_GB2312"/>
      <w:color w:val="000000"/>
      <w:sz w:val="24"/>
      <w:szCs w:val="24"/>
      <w:u w:val="none"/>
    </w:rPr>
  </w:style>
  <w:style w:type="character" w:customStyle="1" w:styleId="30">
    <w:name w:val="font171"/>
    <w:basedOn w:val="10"/>
    <w:qFormat/>
    <w:uiPriority w:val="0"/>
    <w:rPr>
      <w:rFonts w:ascii="方正隶书_GBK" w:hAnsi="方正隶书_GBK" w:eastAsia="方正隶书_GBK" w:cs="方正隶书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wsc</Company>
  <Pages>16</Pages>
  <Words>7043</Words>
  <Characters>7745</Characters>
  <Lines>70</Lines>
  <Paragraphs>19</Paragraphs>
  <TotalTime>1</TotalTime>
  <ScaleCrop>false</ScaleCrop>
  <LinksUpToDate>false</LinksUpToDate>
  <CharactersWithSpaces>7745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2020-09-17T11:37:00Z</dcterms:created>
  <dc:creator>edi</dc:creator>
  <cp:lastModifiedBy>z&amp;m</cp:lastModifiedBy>
  <cp:lastPrinted>2019-01-29T04:45:00Z</cp:lastPrinted>
  <dcterms:modified xsi:type="dcterms:W3CDTF">2024-09-14T02:16:56Z</dcterms:modified>
  <dc:title>津商务贸发函〔2009〕1号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F47CFA65467F40C2802327BE4DE29C81_12</vt:lpwstr>
  </property>
</Properties>
</file>