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关于宁河区农村自来水销售价格的通知</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center"/>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center"/>
        <w:textAlignment w:val="auto"/>
        <w:rPr>
          <w:rFonts w:hint="eastAsia" w:ascii="仿宋_GB2312" w:hAnsi="仿宋_GB2312" w:eastAsia="仿宋_GB2312" w:cs="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为促进我区农村自来水事宜健康发展，</w:t>
      </w:r>
      <w:r>
        <w:rPr>
          <w:rFonts w:hint="eastAsia" w:ascii="仿宋_GB2312" w:hAnsi="仿宋_GB2312" w:eastAsia="仿宋_GB2312" w:cs="仿宋_GB2312"/>
          <w:sz w:val="32"/>
          <w:szCs w:val="32"/>
          <w:lang w:val="en-US" w:eastAsia="zh-CN"/>
        </w:rPr>
        <w:t>确保水源切改后水厂正常运转，经听取价格听证会及社会各方面意见，按照“同水同网同价”的原则，农村自来水销售价格参照城区水价标准执行。现将有关事项通知如下：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一、农村自来水销售价格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（一）居民生活用水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居民生活用水终端水价按照《宁河区发改委关于我区居民用水实行阶梯水价的通知》（宁发改价〔2018〕2号）执行，即：第一级，户年用水量不超过180立方米，水价为每立方米4.90元；第二级，户年用水量181-240立方米之间，水价为每立方米6.20元；第三级，户年用水量240立方米以上，水价为每立方米8.00元，以上价格均含污水处理费每立方米0.95元。对家庭人口4人以上的，每增加1人，各级年用水量分别增加36立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2.对不具备“一户一表”计量条件的合表居民用水户，暂不执行居民阶梯水价，用水价格执行每立方米4.90元，其中含污水处理费每立方米0.95元。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3.对执行居民水价的非居民用户（学校、社会福利机构等）不执行阶梯水价，用水价格统一执行每立方米5.55元，其中含污水处理费每立方米0.95元。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4.对低保户、特困户等低收入家庭用水，按第一级水价执行，确保其生活水平不因实施阶梯水价制度而降低。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5.计量缴费周期。居民阶梯分级水量按年度周期计量，当年度累计用水量达到分级水量基数临界点后，开始实行阶梯加价。计量周期为每年9月1日起至8月31日，在年度周期之间不累计、不结转。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（二）非居民及特种行业用水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及特种行业用水终端销售价格按照《关于进一步完善宁河区水价结构及调整非居民和特种行业用水价格的通知》（宁发改字〔2020〕2号）执行，即：特种行业用水主要包括洗浴行业、洗车行业、高尔夫球场、滑雪场和生产饮用水的企业用水等，销售价格为22.30元；非居民用水为除居民用水和特种行业用水之外的用水，销售价格为7.90元，以上价格均含污水处理费每立方米1.40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二、配套措施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（一）加大宣传力度。</w:t>
      </w:r>
      <w:r>
        <w:rPr>
          <w:rFonts w:hint="eastAsia" w:ascii="仿宋_GB2312" w:hAnsi="仿宋_GB2312" w:eastAsia="仿宋_GB2312" w:cs="仿宋_GB2312"/>
          <w:sz w:val="32"/>
          <w:szCs w:val="32"/>
          <w:lang w:val="en-US" w:eastAsia="zh-CN"/>
        </w:rPr>
        <w:t>区水务部门要通过电视、广播、网络等媒体加大对水源切改的宣传力度，使用水户充分理解水源切改的重要性和必要性；各镇（街道办）要配合水务部门，对群众做好政策宣传引导工作，确保水源切改工作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（二）提升服务水平。</w:t>
      </w:r>
      <w:r>
        <w:rPr>
          <w:rFonts w:hint="eastAsia" w:ascii="仿宋_GB2312" w:hAnsi="仿宋_GB2312" w:eastAsia="仿宋_GB2312" w:cs="仿宋_GB2312"/>
          <w:sz w:val="32"/>
          <w:szCs w:val="32"/>
          <w:lang w:val="en-US" w:eastAsia="zh-CN"/>
        </w:rPr>
        <w:t>供水企业要加快推进“一户一表”改造，实施计量到户；进一步提升服务水平，保障用水质量，确保居民用水安全稳定。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三、执行时间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（一）上述规定自2022年10月1日起执行；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（二）如遇政策变化将适时调整价格。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附件：宁河区农村自来水销售价格表</w:t>
      </w: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firstLine="5120" w:firstLineChars="1600"/>
        <w:textAlignment w:val="auto"/>
        <w:rPr>
          <w:rFonts w:eastAsia="黑体"/>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2022年  月  </w:t>
      </w:r>
      <w:bookmarkStart w:id="0" w:name="_GoBack"/>
      <w:bookmarkEnd w:id="0"/>
      <w:r>
        <w:rPr>
          <w:rFonts w:hint="eastAsia" w:ascii="仿宋_GB2312" w:hAnsi="仿宋_GB2312" w:eastAsia="仿宋_GB2312" w:cs="仿宋_GB2312"/>
          <w:color w:val="000000"/>
          <w:kern w:val="0"/>
          <w:sz w:val="32"/>
          <w:szCs w:val="32"/>
          <w:lang w:val="en-US" w:eastAsia="zh-CN"/>
        </w:rPr>
        <w:t>日</w:t>
      </w: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p>
    <w:p>
      <w:pPr>
        <w:keepNext w:val="0"/>
        <w:keepLines w:val="0"/>
        <w:pageBreakBefore w:val="0"/>
        <w:kinsoku/>
        <w:overflowPunct/>
        <w:topLinePunct w:val="0"/>
        <w:autoSpaceDE/>
        <w:autoSpaceDN/>
        <w:bidi w:val="0"/>
        <w:adjustRightInd/>
        <w:spacing w:line="560" w:lineRule="exact"/>
        <w:ind w:right="26"/>
        <w:textAlignment w:val="auto"/>
        <w:rPr>
          <w:rFonts w:eastAsia="黑体"/>
          <w:color w:val="000000"/>
          <w:kern w:val="0"/>
          <w:sz w:val="32"/>
          <w:szCs w:val="32"/>
        </w:rPr>
      </w:pPr>
      <w:r>
        <w:rPr>
          <w:rFonts w:eastAsia="黑体"/>
          <w:color w:val="000000"/>
          <w:kern w:val="0"/>
          <w:sz w:val="32"/>
          <w:szCs w:val="32"/>
        </w:rPr>
        <w:t>附件</w:t>
      </w:r>
    </w:p>
    <w:p>
      <w:pPr>
        <w:keepNext w:val="0"/>
        <w:keepLines w:val="0"/>
        <w:pageBreakBefore w:val="0"/>
        <w:widowControl w:val="0"/>
        <w:kinsoku/>
        <w:wordWrap/>
        <w:overflowPunct/>
        <w:topLinePunct w:val="0"/>
        <w:autoSpaceDE/>
        <w:autoSpaceDN/>
        <w:bidi w:val="0"/>
        <w:adjustRightInd/>
        <w:spacing w:line="480" w:lineRule="exact"/>
        <w:ind w:right="26"/>
        <w:textAlignment w:val="auto"/>
        <w:rPr>
          <w:rFonts w:eastAsia="黑体"/>
          <w:color w:val="000000"/>
          <w:kern w:val="0"/>
          <w:sz w:val="32"/>
          <w:szCs w:val="32"/>
        </w:rPr>
      </w:pPr>
    </w:p>
    <w:p>
      <w:pPr>
        <w:keepNext w:val="0"/>
        <w:keepLines w:val="0"/>
        <w:pageBreakBefore w:val="0"/>
        <w:widowControl w:val="0"/>
        <w:kinsoku/>
        <w:wordWrap/>
        <w:overflowPunct/>
        <w:topLinePunct w:val="0"/>
        <w:autoSpaceDE/>
        <w:autoSpaceDN/>
        <w:bidi w:val="0"/>
        <w:adjustRightInd/>
        <w:spacing w:line="480" w:lineRule="exact"/>
        <w:ind w:right="26"/>
        <w:jc w:val="center"/>
        <w:textAlignment w:val="auto"/>
        <w:rPr>
          <w:rFonts w:eastAsia="方正小标宋简体"/>
          <w:color w:val="000000"/>
          <w:kern w:val="0"/>
          <w:sz w:val="44"/>
          <w:szCs w:val="44"/>
        </w:rPr>
      </w:pPr>
      <w:r>
        <w:rPr>
          <w:rFonts w:hint="eastAsia" w:eastAsia="方正小标宋简体"/>
          <w:color w:val="000000"/>
          <w:kern w:val="0"/>
          <w:sz w:val="44"/>
          <w:szCs w:val="44"/>
          <w:lang w:eastAsia="zh-CN"/>
        </w:rPr>
        <w:t>宁河区农村</w:t>
      </w:r>
      <w:r>
        <w:rPr>
          <w:rFonts w:eastAsia="方正小标宋简体"/>
          <w:color w:val="000000"/>
          <w:kern w:val="0"/>
          <w:sz w:val="44"/>
          <w:szCs w:val="44"/>
        </w:rPr>
        <w:t>自来水销售价格表</w:t>
      </w:r>
    </w:p>
    <w:p>
      <w:pPr>
        <w:keepNext w:val="0"/>
        <w:keepLines w:val="0"/>
        <w:pageBreakBefore w:val="0"/>
        <w:widowControl w:val="0"/>
        <w:tabs>
          <w:tab w:val="left" w:pos="7380"/>
        </w:tabs>
        <w:kinsoku/>
        <w:wordWrap/>
        <w:overflowPunct/>
        <w:topLinePunct w:val="0"/>
        <w:autoSpaceDE/>
        <w:autoSpaceDN/>
        <w:bidi w:val="0"/>
        <w:adjustRightInd/>
        <w:snapToGrid w:val="0"/>
        <w:spacing w:line="480" w:lineRule="exact"/>
        <w:jc w:val="right"/>
        <w:textAlignment w:val="auto"/>
        <w:rPr>
          <w:rFonts w:eastAsia="仿宋_GB2312"/>
          <w:color w:val="000000"/>
          <w:kern w:val="0"/>
          <w:sz w:val="32"/>
        </w:rPr>
      </w:pPr>
    </w:p>
    <w:p>
      <w:pPr>
        <w:tabs>
          <w:tab w:val="left" w:pos="7380"/>
        </w:tabs>
        <w:snapToGrid w:val="0"/>
        <w:spacing w:line="480" w:lineRule="exact"/>
        <w:jc w:val="right"/>
        <w:rPr>
          <w:rFonts w:eastAsia="仿宋_GB2312"/>
          <w:color w:val="000000"/>
          <w:kern w:val="0"/>
          <w:sz w:val="32"/>
        </w:rPr>
      </w:pPr>
      <w:r>
        <w:rPr>
          <w:rFonts w:eastAsia="仿宋_GB2312"/>
          <w:color w:val="000000"/>
          <w:kern w:val="0"/>
          <w:sz w:val="24"/>
          <w:szCs w:val="24"/>
        </w:rPr>
        <w:t xml:space="preserve"> </w:t>
      </w:r>
    </w:p>
    <w:p>
      <w:pPr>
        <w:tabs>
          <w:tab w:val="left" w:pos="7380"/>
        </w:tabs>
        <w:wordWrap w:val="0"/>
        <w:snapToGrid w:val="0"/>
        <w:spacing w:line="320" w:lineRule="exact"/>
        <w:ind w:right="74"/>
        <w:jc w:val="right"/>
        <w:rPr>
          <w:rFonts w:eastAsia="仿宋_GB2312"/>
          <w:color w:val="000000"/>
          <w:kern w:val="0"/>
          <w:sz w:val="24"/>
          <w:szCs w:val="24"/>
        </w:rPr>
      </w:pPr>
      <w:r>
        <w:rPr>
          <w:rFonts w:eastAsia="仿宋_GB2312"/>
          <w:color w:val="000000"/>
          <w:kern w:val="0"/>
          <w:sz w:val="24"/>
          <w:szCs w:val="24"/>
        </w:rPr>
        <w:t xml:space="preserve">    单位：元/立方米</w:t>
      </w:r>
    </w:p>
    <w:tbl>
      <w:tblPr>
        <w:tblStyle w:val="6"/>
        <w:tblW w:w="9828" w:type="dxa"/>
        <w:jc w:val="center"/>
        <w:tblLayout w:type="fixed"/>
        <w:tblCellMar>
          <w:top w:w="0" w:type="dxa"/>
          <w:left w:w="108" w:type="dxa"/>
          <w:bottom w:w="0" w:type="dxa"/>
          <w:right w:w="108" w:type="dxa"/>
        </w:tblCellMar>
      </w:tblPr>
      <w:tblGrid>
        <w:gridCol w:w="719"/>
        <w:gridCol w:w="1701"/>
        <w:gridCol w:w="1417"/>
        <w:gridCol w:w="1560"/>
        <w:gridCol w:w="1417"/>
        <w:gridCol w:w="1559"/>
        <w:gridCol w:w="1455"/>
      </w:tblGrid>
      <w:tr>
        <w:tblPrEx>
          <w:tblCellMar>
            <w:top w:w="0" w:type="dxa"/>
            <w:left w:w="108" w:type="dxa"/>
            <w:bottom w:w="0" w:type="dxa"/>
            <w:right w:w="108" w:type="dxa"/>
          </w:tblCellMar>
        </w:tblPrEx>
        <w:trPr>
          <w:trHeight w:val="744" w:hRule="atLeast"/>
          <w:jc w:val="center"/>
        </w:trPr>
        <w:tc>
          <w:tcPr>
            <w:tcW w:w="2420" w:type="dxa"/>
            <w:gridSpan w:val="2"/>
            <w:vMerge w:val="restart"/>
            <w:tcBorders>
              <w:top w:val="single" w:color="auto" w:sz="4" w:space="0"/>
              <w:left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类型</w:t>
            </w:r>
          </w:p>
        </w:tc>
        <w:tc>
          <w:tcPr>
            <w:tcW w:w="1417"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阶梯设置</w:t>
            </w:r>
          </w:p>
        </w:tc>
        <w:tc>
          <w:tcPr>
            <w:tcW w:w="1560" w:type="dxa"/>
            <w:vMerge w:val="restart"/>
            <w:tcBorders>
              <w:top w:val="single" w:color="auto" w:sz="4" w:space="0"/>
              <w:left w:val="single" w:color="auto" w:sz="4" w:space="0"/>
              <w:right w:val="single" w:color="auto" w:sz="4" w:space="0"/>
            </w:tcBorders>
            <w:noWrap w:val="0"/>
            <w:vAlign w:val="top"/>
          </w:tcPr>
          <w:p>
            <w:pPr>
              <w:widowControl/>
              <w:spacing w:line="360" w:lineRule="exact"/>
              <w:rPr>
                <w:rFonts w:eastAsia="仿宋_GB2312"/>
                <w:color w:val="000000"/>
                <w:kern w:val="0"/>
                <w:sz w:val="24"/>
                <w:szCs w:val="24"/>
              </w:rPr>
            </w:pPr>
          </w:p>
          <w:p>
            <w:pPr>
              <w:widowControl/>
              <w:spacing w:line="360" w:lineRule="exact"/>
              <w:rPr>
                <w:rFonts w:eastAsia="仿宋_GB2312"/>
                <w:color w:val="000000"/>
                <w:kern w:val="0"/>
                <w:sz w:val="24"/>
                <w:szCs w:val="24"/>
              </w:rPr>
            </w:pPr>
          </w:p>
          <w:p>
            <w:pPr>
              <w:widowControl/>
              <w:spacing w:line="360" w:lineRule="exact"/>
              <w:rPr>
                <w:rFonts w:eastAsia="仿宋_GB2312"/>
                <w:color w:val="000000"/>
                <w:kern w:val="0"/>
                <w:sz w:val="24"/>
                <w:szCs w:val="24"/>
              </w:rPr>
            </w:pPr>
            <w:r>
              <w:rPr>
                <w:rFonts w:eastAsia="仿宋_GB2312"/>
                <w:color w:val="000000"/>
                <w:kern w:val="0"/>
                <w:sz w:val="24"/>
                <w:szCs w:val="24"/>
              </w:rPr>
              <w:t>户年用水量（立方米）</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水价</w:t>
            </w:r>
          </w:p>
        </w:tc>
        <w:tc>
          <w:tcPr>
            <w:tcW w:w="3014" w:type="dxa"/>
            <w:gridSpan w:val="2"/>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其中：</w:t>
            </w:r>
          </w:p>
        </w:tc>
      </w:tr>
      <w:tr>
        <w:tblPrEx>
          <w:tblCellMar>
            <w:top w:w="0" w:type="dxa"/>
            <w:left w:w="108" w:type="dxa"/>
            <w:bottom w:w="0" w:type="dxa"/>
            <w:right w:w="108" w:type="dxa"/>
          </w:tblCellMar>
        </w:tblPrEx>
        <w:trPr>
          <w:trHeight w:val="972" w:hRule="atLeast"/>
          <w:jc w:val="center"/>
        </w:trPr>
        <w:tc>
          <w:tcPr>
            <w:tcW w:w="2420" w:type="dxa"/>
            <w:gridSpan w:val="2"/>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p>
        </w:tc>
        <w:tc>
          <w:tcPr>
            <w:tcW w:w="1417"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p>
        </w:tc>
        <w:tc>
          <w:tcPr>
            <w:tcW w:w="1560" w:type="dxa"/>
            <w:vMerge w:val="continue"/>
            <w:tcBorders>
              <w:left w:val="single" w:color="auto" w:sz="4" w:space="0"/>
              <w:bottom w:val="single" w:color="auto" w:sz="4" w:space="0"/>
              <w:right w:val="single" w:color="auto" w:sz="4" w:space="0"/>
            </w:tcBorders>
            <w:noWrap w:val="0"/>
            <w:vAlign w:val="center"/>
          </w:tcPr>
          <w:p>
            <w:pPr>
              <w:widowControl/>
              <w:spacing w:line="360" w:lineRule="exact"/>
              <w:rPr>
                <w:rFonts w:eastAsia="仿宋_GB2312"/>
                <w:color w:val="000000"/>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559" w:type="dxa"/>
            <w:tcBorders>
              <w:top w:val="nil"/>
              <w:left w:val="nil"/>
              <w:bottom w:val="nil"/>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基本水价</w:t>
            </w:r>
          </w:p>
        </w:tc>
        <w:tc>
          <w:tcPr>
            <w:tcW w:w="1455" w:type="dxa"/>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 w:val="24"/>
                <w:szCs w:val="24"/>
              </w:rPr>
            </w:pPr>
            <w:r>
              <w:rPr>
                <w:rFonts w:eastAsia="仿宋_GB2312"/>
                <w:color w:val="000000"/>
                <w:kern w:val="0"/>
                <w:sz w:val="24"/>
                <w:szCs w:val="24"/>
              </w:rPr>
              <w:t>污水处理费</w:t>
            </w:r>
          </w:p>
        </w:tc>
      </w:tr>
      <w:tr>
        <w:tblPrEx>
          <w:tblCellMar>
            <w:top w:w="0" w:type="dxa"/>
            <w:left w:w="108" w:type="dxa"/>
            <w:bottom w:w="0" w:type="dxa"/>
            <w:right w:w="108" w:type="dxa"/>
          </w:tblCellMar>
        </w:tblPrEx>
        <w:trPr>
          <w:trHeight w:val="1139" w:hRule="atLeast"/>
          <w:jc w:val="center"/>
        </w:trPr>
        <w:tc>
          <w:tcPr>
            <w:tcW w:w="719" w:type="dxa"/>
            <w:vMerge w:val="restart"/>
            <w:tcBorders>
              <w:top w:val="single" w:color="auto" w:sz="4" w:space="0"/>
              <w:left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居</w:t>
            </w:r>
          </w:p>
          <w:p>
            <w:pPr>
              <w:spacing w:line="360" w:lineRule="exact"/>
              <w:jc w:val="center"/>
              <w:rPr>
                <w:rFonts w:eastAsia="仿宋_GB2312"/>
                <w:color w:val="000000"/>
                <w:kern w:val="0"/>
                <w:sz w:val="24"/>
                <w:szCs w:val="24"/>
              </w:rPr>
            </w:pPr>
            <w:r>
              <w:rPr>
                <w:rFonts w:eastAsia="仿宋_GB2312"/>
                <w:color w:val="000000"/>
                <w:kern w:val="0"/>
                <w:sz w:val="24"/>
                <w:szCs w:val="24"/>
              </w:rPr>
              <w:t>民</w:t>
            </w:r>
          </w:p>
          <w:p>
            <w:pPr>
              <w:spacing w:line="360" w:lineRule="exact"/>
              <w:jc w:val="center"/>
              <w:rPr>
                <w:rFonts w:eastAsia="仿宋_GB2312"/>
                <w:color w:val="000000"/>
                <w:kern w:val="0"/>
                <w:sz w:val="24"/>
                <w:szCs w:val="24"/>
              </w:rPr>
            </w:pPr>
            <w:r>
              <w:rPr>
                <w:rFonts w:eastAsia="仿宋_GB2312"/>
                <w:color w:val="000000"/>
                <w:kern w:val="0"/>
                <w:sz w:val="24"/>
                <w:szCs w:val="24"/>
              </w:rPr>
              <w:t>用</w:t>
            </w:r>
          </w:p>
          <w:p>
            <w:pPr>
              <w:spacing w:line="360" w:lineRule="exact"/>
              <w:jc w:val="center"/>
              <w:rPr>
                <w:rFonts w:eastAsia="仿宋_GB2312"/>
                <w:color w:val="000000"/>
                <w:kern w:val="0"/>
                <w:sz w:val="24"/>
                <w:szCs w:val="24"/>
              </w:rPr>
            </w:pPr>
            <w:r>
              <w:rPr>
                <w:rFonts w:eastAsia="仿宋_GB2312"/>
                <w:color w:val="000000"/>
                <w:kern w:val="0"/>
                <w:sz w:val="24"/>
                <w:szCs w:val="24"/>
              </w:rPr>
              <w:t>水</w:t>
            </w:r>
          </w:p>
        </w:tc>
        <w:tc>
          <w:tcPr>
            <w:tcW w:w="1701"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“一户一表”</w:t>
            </w:r>
          </w:p>
          <w:p>
            <w:pPr>
              <w:spacing w:line="360" w:lineRule="exact"/>
              <w:jc w:val="center"/>
              <w:rPr>
                <w:rFonts w:eastAsia="仿宋_GB2312"/>
                <w:color w:val="000000"/>
                <w:kern w:val="0"/>
                <w:sz w:val="24"/>
                <w:szCs w:val="24"/>
              </w:rPr>
            </w:pPr>
            <w:r>
              <w:rPr>
                <w:rFonts w:eastAsia="仿宋_GB2312"/>
                <w:color w:val="000000"/>
                <w:kern w:val="0"/>
                <w:sz w:val="24"/>
                <w:szCs w:val="24"/>
              </w:rPr>
              <w:t>居民用户</w:t>
            </w: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第一级</w:t>
            </w:r>
          </w:p>
        </w:tc>
        <w:tc>
          <w:tcPr>
            <w:tcW w:w="1560"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0-180</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eastAsia="仿宋_GB2312"/>
                <w:color w:val="000000"/>
                <w:kern w:val="0"/>
                <w:sz w:val="24"/>
                <w:szCs w:val="24"/>
                <w:lang w:val="en-US" w:eastAsia="zh-CN"/>
              </w:rPr>
            </w:pPr>
            <w:r>
              <w:rPr>
                <w:rFonts w:eastAsia="仿宋_GB2312"/>
                <w:color w:val="000000"/>
                <w:kern w:val="0"/>
                <w:sz w:val="24"/>
                <w:szCs w:val="24"/>
              </w:rPr>
              <w:t>4.9</w:t>
            </w:r>
            <w:r>
              <w:rPr>
                <w:rFonts w:hint="eastAsia" w:eastAsia="仿宋_GB2312"/>
                <w:color w:val="000000"/>
                <w:kern w:val="0"/>
                <w:sz w:val="24"/>
                <w:szCs w:val="24"/>
                <w:lang w:val="en-US" w:eastAsia="zh-CN"/>
              </w:rPr>
              <w:t>0</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3.95</w:t>
            </w:r>
          </w:p>
        </w:tc>
        <w:tc>
          <w:tcPr>
            <w:tcW w:w="1455" w:type="dxa"/>
            <w:vMerge w:val="restart"/>
            <w:tcBorders>
              <w:top w:val="nil"/>
              <w:left w:val="nil"/>
              <w:right w:val="single" w:color="auto" w:sz="4" w:space="0"/>
            </w:tcBorders>
            <w:noWrap w:val="0"/>
            <w:vAlign w:val="center"/>
          </w:tcPr>
          <w:p>
            <w:pPr>
              <w:widowControl/>
              <w:jc w:val="center"/>
              <w:rPr>
                <w:rFonts w:eastAsia="仿宋_GB2312"/>
                <w:color w:val="000000"/>
                <w:kern w:val="0"/>
                <w:sz w:val="24"/>
                <w:szCs w:val="24"/>
              </w:rPr>
            </w:pPr>
          </w:p>
          <w:p>
            <w:pPr>
              <w:widowControl/>
              <w:jc w:val="center"/>
              <w:rPr>
                <w:rFonts w:eastAsia="仿宋_GB2312"/>
                <w:color w:val="000000"/>
                <w:kern w:val="0"/>
                <w:sz w:val="24"/>
                <w:szCs w:val="24"/>
              </w:rPr>
            </w:pPr>
            <w:r>
              <w:rPr>
                <w:rFonts w:eastAsia="仿宋_GB2312"/>
                <w:color w:val="000000"/>
                <w:kern w:val="0"/>
                <w:sz w:val="24"/>
                <w:szCs w:val="24"/>
              </w:rPr>
              <w:t>0.95</w:t>
            </w:r>
          </w:p>
        </w:tc>
      </w:tr>
      <w:tr>
        <w:tblPrEx>
          <w:tblCellMar>
            <w:top w:w="0" w:type="dxa"/>
            <w:left w:w="108" w:type="dxa"/>
            <w:bottom w:w="0" w:type="dxa"/>
            <w:right w:w="108" w:type="dxa"/>
          </w:tblCellMar>
        </w:tblPrEx>
        <w:trPr>
          <w:trHeight w:val="1139" w:hRule="atLeast"/>
          <w:jc w:val="center"/>
        </w:trPr>
        <w:tc>
          <w:tcPr>
            <w:tcW w:w="719" w:type="dxa"/>
            <w:vMerge w:val="continue"/>
            <w:tcBorders>
              <w:left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第二级</w:t>
            </w:r>
          </w:p>
        </w:tc>
        <w:tc>
          <w:tcPr>
            <w:tcW w:w="1560"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181-240</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eastAsia="仿宋_GB2312"/>
                <w:color w:val="000000"/>
                <w:kern w:val="0"/>
                <w:sz w:val="24"/>
                <w:szCs w:val="24"/>
                <w:lang w:val="en-US" w:eastAsia="zh-CN"/>
              </w:rPr>
            </w:pPr>
            <w:r>
              <w:rPr>
                <w:rFonts w:eastAsia="仿宋_GB2312"/>
                <w:color w:val="000000"/>
                <w:kern w:val="0"/>
                <w:sz w:val="24"/>
                <w:szCs w:val="24"/>
              </w:rPr>
              <w:t>6.2</w:t>
            </w:r>
            <w:r>
              <w:rPr>
                <w:rFonts w:hint="eastAsia" w:eastAsia="仿宋_GB2312"/>
                <w:color w:val="000000"/>
                <w:kern w:val="0"/>
                <w:sz w:val="24"/>
                <w:szCs w:val="24"/>
                <w:lang w:val="en-US" w:eastAsia="zh-CN"/>
              </w:rPr>
              <w:t>0</w:t>
            </w:r>
          </w:p>
        </w:tc>
        <w:tc>
          <w:tcPr>
            <w:tcW w:w="1559"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5.25</w:t>
            </w:r>
          </w:p>
        </w:tc>
        <w:tc>
          <w:tcPr>
            <w:tcW w:w="1455" w:type="dxa"/>
            <w:vMerge w:val="continue"/>
            <w:tcBorders>
              <w:left w:val="nil"/>
              <w:right w:val="single" w:color="auto" w:sz="4" w:space="0"/>
            </w:tcBorders>
            <w:noWrap w:val="0"/>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1139" w:hRule="atLeast"/>
          <w:jc w:val="center"/>
        </w:trPr>
        <w:tc>
          <w:tcPr>
            <w:tcW w:w="719" w:type="dxa"/>
            <w:vMerge w:val="continue"/>
            <w:tcBorders>
              <w:left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417"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第三级</w:t>
            </w:r>
          </w:p>
        </w:tc>
        <w:tc>
          <w:tcPr>
            <w:tcW w:w="1560"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240以上</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eastAsia="仿宋_GB2312"/>
                <w:color w:val="000000"/>
                <w:kern w:val="0"/>
                <w:sz w:val="24"/>
                <w:szCs w:val="24"/>
                <w:lang w:val="en-US" w:eastAsia="zh-CN"/>
              </w:rPr>
            </w:pPr>
            <w:r>
              <w:rPr>
                <w:rFonts w:eastAsia="仿宋_GB2312"/>
                <w:color w:val="000000"/>
                <w:kern w:val="0"/>
                <w:sz w:val="24"/>
                <w:szCs w:val="24"/>
              </w:rPr>
              <w:t>8</w:t>
            </w:r>
            <w:r>
              <w:rPr>
                <w:rFonts w:hint="eastAsia" w:eastAsia="仿宋_GB2312"/>
                <w:color w:val="000000"/>
                <w:kern w:val="0"/>
                <w:sz w:val="24"/>
                <w:szCs w:val="24"/>
                <w:lang w:val="en-US" w:eastAsia="zh-CN"/>
              </w:rPr>
              <w:t>.00</w:t>
            </w:r>
          </w:p>
        </w:tc>
        <w:tc>
          <w:tcPr>
            <w:tcW w:w="1559"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7.05</w:t>
            </w:r>
          </w:p>
        </w:tc>
        <w:tc>
          <w:tcPr>
            <w:tcW w:w="1455" w:type="dxa"/>
            <w:vMerge w:val="continue"/>
            <w:tcBorders>
              <w:left w:val="nil"/>
              <w:right w:val="single" w:color="auto" w:sz="4" w:space="0"/>
            </w:tcBorders>
            <w:noWrap w:val="0"/>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1139" w:hRule="atLeast"/>
          <w:jc w:val="center"/>
        </w:trPr>
        <w:tc>
          <w:tcPr>
            <w:tcW w:w="719" w:type="dxa"/>
            <w:vMerge w:val="continue"/>
            <w:tcBorders>
              <w:left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color w:val="000000"/>
                <w:kern w:val="0"/>
                <w:sz w:val="24"/>
                <w:szCs w:val="24"/>
              </w:rPr>
            </w:pPr>
            <w:r>
              <w:rPr>
                <w:rFonts w:eastAsia="仿宋_GB2312"/>
                <w:color w:val="000000"/>
                <w:kern w:val="0"/>
                <w:sz w:val="24"/>
                <w:szCs w:val="24"/>
              </w:rPr>
              <w:t>合表居民用户</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eastAsia="仿宋_GB2312"/>
                <w:color w:val="000000"/>
                <w:kern w:val="0"/>
                <w:sz w:val="24"/>
                <w:szCs w:val="24"/>
                <w:lang w:val="en-US" w:eastAsia="zh-CN"/>
              </w:rPr>
            </w:pPr>
            <w:r>
              <w:rPr>
                <w:rFonts w:eastAsia="仿宋_GB2312"/>
                <w:color w:val="000000"/>
                <w:kern w:val="0"/>
                <w:sz w:val="24"/>
                <w:szCs w:val="24"/>
              </w:rPr>
              <w:t>4.9</w:t>
            </w:r>
            <w:r>
              <w:rPr>
                <w:rFonts w:hint="eastAsia" w:eastAsia="仿宋_GB2312"/>
                <w:color w:val="000000"/>
                <w:kern w:val="0"/>
                <w:sz w:val="24"/>
                <w:szCs w:val="24"/>
                <w:lang w:val="en-US" w:eastAsia="zh-CN"/>
              </w:rPr>
              <w:t>0</w:t>
            </w:r>
          </w:p>
        </w:tc>
        <w:tc>
          <w:tcPr>
            <w:tcW w:w="1559"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3.95</w:t>
            </w:r>
          </w:p>
        </w:tc>
        <w:tc>
          <w:tcPr>
            <w:tcW w:w="1455" w:type="dxa"/>
            <w:vMerge w:val="continue"/>
            <w:tcBorders>
              <w:left w:val="nil"/>
              <w:right w:val="single" w:color="auto" w:sz="4" w:space="0"/>
            </w:tcBorders>
            <w:noWrap w:val="0"/>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1139" w:hRule="atLeast"/>
          <w:jc w:val="center"/>
        </w:trPr>
        <w:tc>
          <w:tcPr>
            <w:tcW w:w="719" w:type="dxa"/>
            <w:vMerge w:val="continue"/>
            <w:tcBorders>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学校、社会福利机构等非居民用户</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p>
            <w:pPr>
              <w:widowControl/>
              <w:spacing w:line="360" w:lineRule="exact"/>
              <w:jc w:val="left"/>
              <w:rPr>
                <w:rFonts w:eastAsia="仿宋_GB2312"/>
                <w:color w:val="000000"/>
                <w:kern w:val="0"/>
                <w:sz w:val="24"/>
                <w:szCs w:val="24"/>
              </w:rPr>
            </w:pPr>
            <w:r>
              <w:rPr>
                <w:rFonts w:eastAsia="仿宋_GB2312"/>
                <w:color w:val="000000"/>
                <w:kern w:val="0"/>
                <w:sz w:val="24"/>
                <w:szCs w:val="24"/>
              </w:rPr>
              <w:t>　</w:t>
            </w:r>
          </w:p>
        </w:tc>
        <w:tc>
          <w:tcPr>
            <w:tcW w:w="1417"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5.55</w:t>
            </w:r>
          </w:p>
        </w:tc>
        <w:tc>
          <w:tcPr>
            <w:tcW w:w="1559" w:type="dxa"/>
            <w:tcBorders>
              <w:top w:val="nil"/>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4.60</w:t>
            </w:r>
          </w:p>
        </w:tc>
        <w:tc>
          <w:tcPr>
            <w:tcW w:w="1455"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 w:val="24"/>
                <w:szCs w:val="24"/>
              </w:rPr>
            </w:pPr>
          </w:p>
        </w:tc>
      </w:tr>
      <w:tr>
        <w:tblPrEx>
          <w:tblCellMar>
            <w:top w:w="0" w:type="dxa"/>
            <w:left w:w="108" w:type="dxa"/>
            <w:bottom w:w="0" w:type="dxa"/>
            <w:right w:w="108" w:type="dxa"/>
          </w:tblCellMar>
        </w:tblPrEx>
        <w:trPr>
          <w:trHeight w:val="1139" w:hRule="atLeast"/>
          <w:jc w:val="center"/>
        </w:trPr>
        <w:tc>
          <w:tcPr>
            <w:tcW w:w="24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非居民用水</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7.90</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6.50</w:t>
            </w:r>
          </w:p>
        </w:tc>
        <w:tc>
          <w:tcPr>
            <w:tcW w:w="1455"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 w:val="24"/>
                <w:szCs w:val="24"/>
              </w:rPr>
            </w:pPr>
            <w:r>
              <w:rPr>
                <w:rFonts w:eastAsia="仿宋_GB2312"/>
                <w:color w:val="000000"/>
                <w:kern w:val="0"/>
                <w:sz w:val="24"/>
                <w:szCs w:val="24"/>
              </w:rPr>
              <w:t>1.40</w:t>
            </w:r>
          </w:p>
        </w:tc>
      </w:tr>
      <w:tr>
        <w:tblPrEx>
          <w:tblCellMar>
            <w:top w:w="0" w:type="dxa"/>
            <w:left w:w="108" w:type="dxa"/>
            <w:bottom w:w="0" w:type="dxa"/>
            <w:right w:w="108" w:type="dxa"/>
          </w:tblCellMar>
        </w:tblPrEx>
        <w:trPr>
          <w:trHeight w:val="1139" w:hRule="atLeast"/>
          <w:jc w:val="center"/>
        </w:trPr>
        <w:tc>
          <w:tcPr>
            <w:tcW w:w="242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特种行业用水</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eastAsia="仿宋_GB2312"/>
                <w:color w:val="000000"/>
                <w:kern w:val="0"/>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22.30</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eastAsia="仿宋_GB2312"/>
                <w:color w:val="000000"/>
                <w:kern w:val="0"/>
                <w:sz w:val="24"/>
                <w:szCs w:val="24"/>
              </w:rPr>
            </w:pPr>
            <w:r>
              <w:rPr>
                <w:rFonts w:eastAsia="仿宋_GB2312"/>
                <w:color w:val="000000"/>
                <w:kern w:val="0"/>
                <w:sz w:val="24"/>
                <w:szCs w:val="24"/>
              </w:rPr>
              <w:t>20.90</w:t>
            </w:r>
          </w:p>
        </w:tc>
        <w:tc>
          <w:tcPr>
            <w:tcW w:w="1455"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 w:val="24"/>
                <w:szCs w:val="24"/>
              </w:rPr>
            </w:pPr>
          </w:p>
        </w:tc>
      </w:tr>
    </w:tbl>
    <w:p>
      <w:pPr>
        <w:spacing w:line="560" w:lineRule="exact"/>
        <w:rPr>
          <w:rFonts w:hint="default" w:ascii="仿宋_GB2312" w:hAnsi="仿宋_GB2312" w:eastAsia="仿宋_GB2312" w:cs="仿宋_GB2312"/>
          <w:sz w:val="32"/>
          <w:szCs w:val="32"/>
          <w:lang w:val="en-US" w:eastAsia="zh-CN"/>
        </w:rPr>
      </w:pPr>
    </w:p>
    <w:sectPr>
      <w:footerReference r:id="rId3" w:type="default"/>
      <w:pgSz w:w="11850" w:h="16783"/>
      <w:pgMar w:top="1701" w:right="1559" w:bottom="1701" w:left="1559" w:header="964"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ZGIajyAEAAHcDAAAOAAAAAAAA&#10;AAEAIAAAADQBAABkcnMvZTJvRG9jLnhtbFBLBQYAAAAABgAGAFkBAABuBQ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05"/>
  <w:drawingGridVerticalSpacing w:val="15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7F"/>
    <w:rsid w:val="0000478C"/>
    <w:rsid w:val="0001369A"/>
    <w:rsid w:val="00034D20"/>
    <w:rsid w:val="000768D9"/>
    <w:rsid w:val="00096604"/>
    <w:rsid w:val="000A0290"/>
    <w:rsid w:val="001C1DC7"/>
    <w:rsid w:val="00283FA7"/>
    <w:rsid w:val="002B5E2D"/>
    <w:rsid w:val="002D3EF1"/>
    <w:rsid w:val="002F2129"/>
    <w:rsid w:val="003018FE"/>
    <w:rsid w:val="003726B7"/>
    <w:rsid w:val="003A4D36"/>
    <w:rsid w:val="005262FD"/>
    <w:rsid w:val="00557B5E"/>
    <w:rsid w:val="00594CC3"/>
    <w:rsid w:val="005A547F"/>
    <w:rsid w:val="005C1B32"/>
    <w:rsid w:val="005C539B"/>
    <w:rsid w:val="006B673C"/>
    <w:rsid w:val="007821DA"/>
    <w:rsid w:val="007A64E9"/>
    <w:rsid w:val="00823FDA"/>
    <w:rsid w:val="00832A9F"/>
    <w:rsid w:val="009513BE"/>
    <w:rsid w:val="009B04E2"/>
    <w:rsid w:val="00AE07F6"/>
    <w:rsid w:val="00BC302C"/>
    <w:rsid w:val="00C32240"/>
    <w:rsid w:val="00C57B42"/>
    <w:rsid w:val="00E14ABD"/>
    <w:rsid w:val="00F72CBC"/>
    <w:rsid w:val="00F96206"/>
    <w:rsid w:val="00FD517F"/>
    <w:rsid w:val="00FF2362"/>
    <w:rsid w:val="01CF32C6"/>
    <w:rsid w:val="01EF09B8"/>
    <w:rsid w:val="02E17B24"/>
    <w:rsid w:val="046802BE"/>
    <w:rsid w:val="0A584C91"/>
    <w:rsid w:val="0AFC7F94"/>
    <w:rsid w:val="0C7B18FF"/>
    <w:rsid w:val="0CAA07DD"/>
    <w:rsid w:val="0DBC6D22"/>
    <w:rsid w:val="0F896D03"/>
    <w:rsid w:val="108773B4"/>
    <w:rsid w:val="135871DB"/>
    <w:rsid w:val="191B4178"/>
    <w:rsid w:val="19621BF6"/>
    <w:rsid w:val="1D454692"/>
    <w:rsid w:val="2066235C"/>
    <w:rsid w:val="21B61599"/>
    <w:rsid w:val="23016FCC"/>
    <w:rsid w:val="23FF296A"/>
    <w:rsid w:val="260156F3"/>
    <w:rsid w:val="279960FF"/>
    <w:rsid w:val="294A4414"/>
    <w:rsid w:val="29C94A29"/>
    <w:rsid w:val="2BEC42CC"/>
    <w:rsid w:val="2C8741EC"/>
    <w:rsid w:val="31022702"/>
    <w:rsid w:val="33FF5F48"/>
    <w:rsid w:val="3A4E0F02"/>
    <w:rsid w:val="3CC9167C"/>
    <w:rsid w:val="3F0B752A"/>
    <w:rsid w:val="43FF7929"/>
    <w:rsid w:val="44D83991"/>
    <w:rsid w:val="45791803"/>
    <w:rsid w:val="4B3B5765"/>
    <w:rsid w:val="4E264A2D"/>
    <w:rsid w:val="50E355E1"/>
    <w:rsid w:val="51E5680B"/>
    <w:rsid w:val="52912844"/>
    <w:rsid w:val="53F83D15"/>
    <w:rsid w:val="56C059BA"/>
    <w:rsid w:val="56DC3DF8"/>
    <w:rsid w:val="582C3602"/>
    <w:rsid w:val="58426AE6"/>
    <w:rsid w:val="59DE5BA6"/>
    <w:rsid w:val="5C002C3D"/>
    <w:rsid w:val="5F493284"/>
    <w:rsid w:val="5F5C7CB6"/>
    <w:rsid w:val="602C688F"/>
    <w:rsid w:val="61173633"/>
    <w:rsid w:val="631466D7"/>
    <w:rsid w:val="641472D1"/>
    <w:rsid w:val="65FFCDA5"/>
    <w:rsid w:val="678B62D9"/>
    <w:rsid w:val="69822566"/>
    <w:rsid w:val="6B304091"/>
    <w:rsid w:val="6D952D07"/>
    <w:rsid w:val="6FCA7495"/>
    <w:rsid w:val="7001671A"/>
    <w:rsid w:val="703F08A2"/>
    <w:rsid w:val="72B1068F"/>
    <w:rsid w:val="74FF1647"/>
    <w:rsid w:val="7772172E"/>
    <w:rsid w:val="78A47D90"/>
    <w:rsid w:val="78E575D5"/>
    <w:rsid w:val="798D3B35"/>
    <w:rsid w:val="7D027047"/>
    <w:rsid w:val="7D5D2A30"/>
    <w:rsid w:val="7EF36B5D"/>
    <w:rsid w:val="7EFF9212"/>
    <w:rsid w:val="E6EF7988"/>
    <w:rsid w:val="EF7F4193"/>
    <w:rsid w:val="F67B8B6E"/>
    <w:rsid w:val="FFBBA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paragraph" w:styleId="10">
    <w:name w:val="List Paragraph"/>
    <w:basedOn w:val="1"/>
    <w:unhideWhenUsed/>
    <w:qFormat/>
    <w:uiPriority w:val="99"/>
    <w:pPr>
      <w:ind w:firstLine="420" w:firstLineChars="200"/>
    </w:p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2212</Words>
  <Characters>2412</Characters>
  <Lines>13</Lines>
  <Paragraphs>9</Paragraphs>
  <TotalTime>21</TotalTime>
  <ScaleCrop>false</ScaleCrop>
  <LinksUpToDate>false</LinksUpToDate>
  <CharactersWithSpaces>2463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dc:creator>
  <cp:lastModifiedBy>greatwall</cp:lastModifiedBy>
  <cp:lastPrinted>2021-09-01T23:48:00Z</cp:lastPrinted>
  <dcterms:modified xsi:type="dcterms:W3CDTF">2022-09-21T16:50:52Z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