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FE669">
      <w:pPr>
        <w:spacing w:line="560" w:lineRule="exact"/>
        <w:jc w:val="center"/>
        <w:rPr>
          <w:rFonts w:hint="eastAsia" w:ascii="方正小标宋简体" w:hAnsi="Times New Roman" w:eastAsia="方正小标宋简体"/>
          <w:color w:val="auto"/>
          <w:sz w:val="44"/>
          <w:szCs w:val="44"/>
        </w:rPr>
      </w:pPr>
      <w:bookmarkStart w:id="0" w:name="_GoBack"/>
      <w:bookmarkEnd w:id="0"/>
      <w:r>
        <w:rPr>
          <w:rFonts w:hint="eastAsia" w:ascii="方正小标宋简体" w:hAnsi="Times New Roman" w:eastAsia="方正小标宋简体"/>
          <w:color w:val="auto"/>
          <w:sz w:val="44"/>
          <w:szCs w:val="44"/>
        </w:rPr>
        <w:t>天津市</w:t>
      </w:r>
      <w:r>
        <w:rPr>
          <w:rFonts w:hint="default" w:ascii="方正小标宋简体" w:hAnsi="Times New Roman" w:eastAsia="方正小标宋简体"/>
          <w:color w:val="auto"/>
          <w:sz w:val="44"/>
          <w:szCs w:val="44"/>
          <w:lang w:val="en"/>
        </w:rPr>
        <w:t>宁河</w:t>
      </w:r>
      <w:r>
        <w:rPr>
          <w:rFonts w:hint="eastAsia" w:ascii="方正小标宋简体" w:hAnsi="Times New Roman" w:eastAsia="方正小标宋简体"/>
          <w:color w:val="auto"/>
          <w:sz w:val="44"/>
          <w:szCs w:val="44"/>
          <w:lang w:val="en" w:eastAsia="zh-CN"/>
        </w:rPr>
        <w:t>区</w:t>
      </w:r>
      <w:r>
        <w:rPr>
          <w:rFonts w:hint="eastAsia" w:ascii="方正小标宋简体" w:hAnsi="Times New Roman" w:eastAsia="方正小标宋简体"/>
          <w:color w:val="auto"/>
          <w:sz w:val="44"/>
          <w:szCs w:val="44"/>
        </w:rPr>
        <w:t>粮食风险基金监督管理办法</w:t>
      </w:r>
    </w:p>
    <w:p w14:paraId="690DC4DE">
      <w:pPr>
        <w:spacing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（第二次征求意见稿）</w:t>
      </w:r>
    </w:p>
    <w:p w14:paraId="628A22D3">
      <w:pPr>
        <w:spacing w:line="560" w:lineRule="exact"/>
        <w:jc w:val="center"/>
        <w:rPr>
          <w:rFonts w:ascii="Times New Roman" w:hAnsi="Times New Roman" w:eastAsia="仿宋_GB2312"/>
          <w:color w:val="auto"/>
          <w:sz w:val="32"/>
          <w:szCs w:val="32"/>
        </w:rPr>
      </w:pPr>
    </w:p>
    <w:p w14:paraId="5511E1AA">
      <w:pPr>
        <w:numPr>
          <w:ilvl w:val="0"/>
          <w:numId w:val="0"/>
        </w:numPr>
        <w:spacing w:line="560" w:lineRule="exact"/>
        <w:ind w:firstLine="640" w:firstLineChars="200"/>
        <w:rPr>
          <w:rFonts w:ascii="Times New Roman" w:hAnsi="Times New Roman" w:eastAsia="仿宋_GB2312"/>
          <w:color w:val="auto"/>
          <w:sz w:val="32"/>
          <w:szCs w:val="32"/>
        </w:rPr>
      </w:pPr>
      <w:r>
        <w:rPr>
          <w:rFonts w:hint="default" w:ascii="黑体" w:hAnsi="黑体" w:eastAsia="黑体" w:cs="黑体"/>
          <w:color w:val="auto"/>
          <w:sz w:val="32"/>
          <w:szCs w:val="32"/>
          <w:lang w:val="en"/>
        </w:rPr>
        <w:t>第一条</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修订</w:t>
      </w:r>
      <w:r>
        <w:rPr>
          <w:rFonts w:hint="eastAsia" w:ascii="黑体" w:hAnsi="黑体" w:eastAsia="黑体" w:cs="黑体"/>
          <w:color w:val="auto"/>
          <w:sz w:val="32"/>
          <w:szCs w:val="32"/>
        </w:rPr>
        <w:t>目的】</w:t>
      </w:r>
      <w:r>
        <w:rPr>
          <w:rFonts w:hint="default" w:ascii="黑体" w:hAnsi="黑体" w:eastAsia="黑体" w:cs="黑体"/>
          <w:color w:val="auto"/>
          <w:sz w:val="32"/>
          <w:szCs w:val="32"/>
          <w:lang w:val="en"/>
        </w:rPr>
        <w:t xml:space="preserve"> </w:t>
      </w:r>
      <w:r>
        <w:rPr>
          <w:rFonts w:ascii="Times New Roman" w:hAnsi="Times New Roman" w:eastAsia="仿宋_GB2312"/>
          <w:color w:val="auto"/>
          <w:sz w:val="32"/>
          <w:szCs w:val="32"/>
        </w:rPr>
        <w:t>为加强我</w:t>
      </w:r>
      <w:r>
        <w:rPr>
          <w:rFonts w:ascii="Times New Roman" w:hAnsi="Times New Roman" w:eastAsia="仿宋_GB2312"/>
          <w:color w:val="auto"/>
          <w:sz w:val="32"/>
          <w:szCs w:val="32"/>
          <w:lang w:val="en"/>
        </w:rPr>
        <w:t>区</w:t>
      </w:r>
      <w:r>
        <w:rPr>
          <w:rFonts w:ascii="Times New Roman" w:hAnsi="Times New Roman" w:eastAsia="仿宋_GB2312"/>
          <w:color w:val="auto"/>
          <w:sz w:val="32"/>
          <w:szCs w:val="32"/>
        </w:rPr>
        <w:t>粮食风险基金监督管理，根据《国务院关于进一步深化粮食流通体制改革的意见》（国发〔2004〕17号）、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市发展改革委</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市</w:t>
      </w:r>
      <w:r>
        <w:rPr>
          <w:rFonts w:hint="eastAsia" w:ascii="Times New Roman" w:hAnsi="Times New Roman" w:eastAsia="仿宋_GB2312"/>
          <w:color w:val="auto"/>
          <w:sz w:val="32"/>
          <w:szCs w:val="32"/>
          <w:lang w:eastAsia="zh-CN"/>
        </w:rPr>
        <w:t>粮食和物资储备局</w:t>
      </w:r>
      <w:r>
        <w:rPr>
          <w:rFonts w:hint="eastAsia" w:ascii="Times New Roman" w:hAnsi="Times New Roman" w:eastAsia="仿宋_GB2312"/>
          <w:color w:val="auto"/>
          <w:sz w:val="32"/>
          <w:szCs w:val="32"/>
        </w:rPr>
        <w:t xml:space="preserve"> 市财政局 农发行天津市分行关于印发</w:t>
      </w:r>
      <w:r>
        <w:rPr>
          <w:rFonts w:ascii="Times New Roman" w:hAnsi="Times New Roman" w:eastAsia="仿宋_GB2312"/>
          <w:color w:val="auto"/>
          <w:sz w:val="32"/>
          <w:szCs w:val="32"/>
        </w:rPr>
        <w:t>天津市粮食风</w:t>
      </w:r>
      <w:r>
        <w:rPr>
          <w:rFonts w:hint="eastAsia" w:ascii="Times New Roman" w:hAnsi="Times New Roman" w:eastAsia="仿宋_GB2312"/>
          <w:color w:val="auto"/>
          <w:sz w:val="32"/>
          <w:szCs w:val="32"/>
        </w:rPr>
        <w:t>险基</w:t>
      </w:r>
      <w:r>
        <w:rPr>
          <w:rFonts w:ascii="Times New Roman" w:hAnsi="Times New Roman" w:eastAsia="仿宋_GB2312"/>
          <w:color w:val="auto"/>
          <w:sz w:val="32"/>
          <w:szCs w:val="32"/>
        </w:rPr>
        <w:t>金监督管理办法的通知</w:t>
      </w:r>
      <w:r>
        <w:rPr>
          <w:rFonts w:hint="eastAsia" w:ascii="Times New Roman" w:hAnsi="Times New Roman" w:eastAsia="仿宋_GB2312"/>
          <w:color w:val="auto"/>
          <w:sz w:val="32"/>
          <w:szCs w:val="32"/>
          <w:lang w:eastAsia="zh-CN"/>
        </w:rPr>
        <w:t>》（津粮【</w:t>
      </w:r>
      <w:r>
        <w:rPr>
          <w:rFonts w:hint="eastAsia" w:ascii="Times New Roman" w:hAnsi="Times New Roman" w:eastAsia="仿宋_GB2312"/>
          <w:color w:val="auto"/>
          <w:sz w:val="32"/>
          <w:szCs w:val="32"/>
          <w:lang w:val="en-US" w:eastAsia="zh-CN"/>
        </w:rPr>
        <w:t>2021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1号</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有关加强粮食风险基金管理的文件精神，制定本办法。</w:t>
      </w:r>
    </w:p>
    <w:p w14:paraId="1690FED1">
      <w:pPr>
        <w:numPr>
          <w:ilvl w:val="0"/>
          <w:numId w:val="0"/>
        </w:num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lang w:eastAsia="zh-CN"/>
        </w:rPr>
        <w:t>第二条</w:t>
      </w:r>
      <w:r>
        <w:rPr>
          <w:rFonts w:hint="eastAsia" w:ascii="黑体" w:hAnsi="黑体" w:eastAsia="黑体" w:cs="黑体"/>
          <w:bCs/>
          <w:color w:val="auto"/>
          <w:sz w:val="32"/>
          <w:szCs w:val="32"/>
        </w:rPr>
        <w:t>【</w:t>
      </w:r>
      <w:r>
        <w:rPr>
          <w:rFonts w:hint="eastAsia" w:ascii="黑体" w:hAnsi="黑体" w:eastAsia="黑体" w:cs="黑体"/>
          <w:color w:val="auto"/>
          <w:sz w:val="32"/>
          <w:szCs w:val="32"/>
          <w:lang w:eastAsia="zh-CN"/>
        </w:rPr>
        <w:t>概念解释</w:t>
      </w:r>
      <w:r>
        <w:rPr>
          <w:rFonts w:hint="eastAsia" w:ascii="黑体" w:hAnsi="黑体" w:eastAsia="黑体" w:cs="黑体"/>
          <w:bCs/>
          <w:color w:val="auto"/>
          <w:sz w:val="32"/>
          <w:szCs w:val="32"/>
        </w:rPr>
        <w:t>】</w:t>
      </w:r>
      <w:r>
        <w:rPr>
          <w:rFonts w:hint="eastAsia" w:ascii="黑体" w:hAnsi="黑体" w:eastAsia="黑体" w:cs="黑体"/>
          <w:bCs/>
          <w:color w:val="auto"/>
          <w:sz w:val="32"/>
          <w:szCs w:val="32"/>
          <w:lang w:val="en-US" w:eastAsia="zh-CN"/>
        </w:rPr>
        <w:t xml:space="preserve"> </w:t>
      </w:r>
      <w:r>
        <w:rPr>
          <w:rFonts w:ascii="Times New Roman" w:hAnsi="Times New Roman" w:eastAsia="仿宋_GB2312"/>
          <w:color w:val="auto"/>
          <w:sz w:val="32"/>
          <w:szCs w:val="32"/>
        </w:rPr>
        <w:t>粮食风险基金是政府维护粮食正常流通秩序，实施经济调控的专项资金</w:t>
      </w:r>
      <w:r>
        <w:rPr>
          <w:rFonts w:hint="eastAsia" w:ascii="Times New Roman" w:hAnsi="Times New Roman" w:eastAsia="仿宋_GB2312"/>
          <w:color w:val="auto"/>
          <w:sz w:val="32"/>
          <w:szCs w:val="32"/>
          <w:lang w:eastAsia="zh-CN"/>
        </w:rPr>
        <w:t>，宁河区粮食风险基金由我区设立。</w:t>
      </w:r>
    </w:p>
    <w:p w14:paraId="2E2D3DD4">
      <w:pPr>
        <w:numPr>
          <w:ilvl w:val="0"/>
          <w:numId w:val="0"/>
        </w:numPr>
        <w:spacing w:line="560" w:lineRule="exact"/>
        <w:ind w:firstLine="640" w:firstLineChars="200"/>
        <w:rPr>
          <w:rFonts w:hint="eastAsia" w:ascii="Times New Roman" w:hAnsi="Times New Roman" w:eastAsia="仿宋_GB2312"/>
          <w:color w:val="auto"/>
          <w:sz w:val="32"/>
          <w:szCs w:val="32"/>
          <w:lang w:eastAsia="zh-CN"/>
        </w:rPr>
      </w:pPr>
      <w:r>
        <w:rPr>
          <w:rFonts w:hint="eastAsia" w:ascii="黑体" w:hAnsi="黑体" w:eastAsia="黑体" w:cs="黑体"/>
          <w:color w:val="auto"/>
          <w:sz w:val="32"/>
          <w:szCs w:val="32"/>
          <w:lang w:eastAsia="zh-CN"/>
        </w:rPr>
        <w:t>第三条</w:t>
      </w:r>
      <w:r>
        <w:rPr>
          <w:rFonts w:hint="eastAsia" w:ascii="黑体" w:hAnsi="黑体" w:eastAsia="黑体" w:cs="黑体"/>
          <w:b w:val="0"/>
          <w:bCs w:val="0"/>
          <w:color w:val="auto"/>
          <w:sz w:val="32"/>
          <w:szCs w:val="32"/>
          <w:lang w:eastAsia="zh-CN"/>
        </w:rPr>
        <w:t>【总体要求】</w:t>
      </w:r>
      <w:r>
        <w:rPr>
          <w:rFonts w:ascii="Times New Roman" w:hAnsi="Times New Roman" w:eastAsia="仿宋_GB2312"/>
          <w:color w:val="auto"/>
          <w:sz w:val="32"/>
          <w:szCs w:val="32"/>
        </w:rPr>
        <w:t>粮食风险基金实行最低规模控制制度，</w:t>
      </w:r>
      <w:r>
        <w:rPr>
          <w:rFonts w:hint="eastAsia" w:ascii="Times New Roman" w:hAnsi="Times New Roman" w:eastAsia="仿宋_GB2312"/>
          <w:color w:val="auto"/>
          <w:sz w:val="32"/>
          <w:szCs w:val="32"/>
          <w:lang w:eastAsia="zh-CN"/>
        </w:rPr>
        <w:t>我区</w:t>
      </w:r>
      <w:r>
        <w:rPr>
          <w:rFonts w:ascii="Times New Roman" w:hAnsi="Times New Roman" w:eastAsia="仿宋_GB2312"/>
          <w:color w:val="auto"/>
          <w:sz w:val="32"/>
          <w:szCs w:val="32"/>
        </w:rPr>
        <w:t>粮食风险基金不低于</w:t>
      </w:r>
      <w:r>
        <w:rPr>
          <w:rFonts w:hint="eastAsia" w:ascii="Times New Roman" w:hAnsi="Times New Roman" w:eastAsia="仿宋_GB2312"/>
          <w:color w:val="auto"/>
          <w:sz w:val="32"/>
          <w:szCs w:val="32"/>
          <w:lang w:eastAsia="zh-CN"/>
        </w:rPr>
        <w:t>天津</w:t>
      </w:r>
      <w:r>
        <w:rPr>
          <w:rFonts w:ascii="Times New Roman" w:hAnsi="Times New Roman" w:eastAsia="仿宋_GB2312"/>
          <w:color w:val="auto"/>
          <w:sz w:val="32"/>
          <w:szCs w:val="32"/>
        </w:rPr>
        <w:t>市核定的规模。当年结转的粮食风险基金，应全部结转到下一年度安排使用，不得用上年结转资金抵顶下年度财政预算安排的</w:t>
      </w:r>
      <w:r>
        <w:rPr>
          <w:rFonts w:hint="eastAsia" w:ascii="Times New Roman" w:hAnsi="Times New Roman" w:eastAsia="仿宋_GB2312"/>
          <w:color w:val="auto"/>
          <w:sz w:val="32"/>
          <w:szCs w:val="32"/>
          <w:lang w:eastAsia="zh-CN"/>
        </w:rPr>
        <w:t>风险</w:t>
      </w:r>
      <w:r>
        <w:rPr>
          <w:rFonts w:ascii="Times New Roman" w:hAnsi="Times New Roman" w:eastAsia="仿宋_GB2312"/>
          <w:color w:val="auto"/>
          <w:sz w:val="32"/>
          <w:szCs w:val="32"/>
        </w:rPr>
        <w:t>资金。</w:t>
      </w:r>
    </w:p>
    <w:p w14:paraId="63D304BD">
      <w:pPr>
        <w:numPr>
          <w:ilvl w:val="0"/>
          <w:numId w:val="0"/>
        </w:num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lang w:eastAsia="zh-CN"/>
        </w:rPr>
        <w:t>第四条【使用原则】</w:t>
      </w:r>
      <w:r>
        <w:rPr>
          <w:rFonts w:hint="eastAsia" w:ascii="黑体" w:hAnsi="黑体" w:eastAsia="黑体" w:cs="黑体"/>
          <w:color w:val="auto"/>
          <w:sz w:val="32"/>
          <w:szCs w:val="32"/>
          <w:lang w:val="en-US" w:eastAsia="zh-CN"/>
        </w:rPr>
        <w:t xml:space="preserve"> </w:t>
      </w:r>
      <w:r>
        <w:rPr>
          <w:rFonts w:ascii="Times New Roman" w:hAnsi="Times New Roman" w:eastAsia="仿宋_GB2312"/>
          <w:color w:val="auto"/>
          <w:sz w:val="32"/>
          <w:szCs w:val="32"/>
        </w:rPr>
        <w:t>粮食风险基金的管理与使用，应遵照国家和我市有关法律法规规定，遵循诚实申请、专款专用和科学监管的原则，确保资金规范、安全和高效使用。</w:t>
      </w:r>
    </w:p>
    <w:p w14:paraId="0B6AAC1F">
      <w:pPr>
        <w:numPr>
          <w:ilvl w:val="0"/>
          <w:numId w:val="0"/>
        </w:num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b w:val="0"/>
          <w:bCs w:val="0"/>
          <w:color w:val="auto"/>
          <w:sz w:val="32"/>
          <w:szCs w:val="32"/>
          <w:lang w:eastAsia="zh-CN"/>
        </w:rPr>
        <w:t>第五条【专户管理】</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粮食风险基金实行财政专户管理。粮食风险基金的筹集</w:t>
      </w:r>
      <w:r>
        <w:rPr>
          <w:rFonts w:hint="eastAsia" w:ascii="Times New Roman" w:hAnsi="Times New Roman" w:eastAsia="仿宋_GB2312"/>
          <w:color w:val="auto"/>
          <w:sz w:val="32"/>
          <w:szCs w:val="32"/>
          <w:lang w:eastAsia="zh-CN"/>
        </w:rPr>
        <w:t>和</w:t>
      </w:r>
      <w:r>
        <w:rPr>
          <w:rFonts w:ascii="Times New Roman" w:hAnsi="Times New Roman" w:eastAsia="仿宋_GB2312"/>
          <w:color w:val="auto"/>
          <w:sz w:val="32"/>
          <w:szCs w:val="32"/>
        </w:rPr>
        <w:t>使用</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必须</w:t>
      </w:r>
      <w:r>
        <w:rPr>
          <w:rFonts w:hint="eastAsia" w:ascii="Times New Roman" w:hAnsi="Times New Roman" w:eastAsia="仿宋_GB2312"/>
          <w:color w:val="auto"/>
          <w:sz w:val="32"/>
          <w:szCs w:val="32"/>
          <w:lang w:eastAsia="zh-CN"/>
        </w:rPr>
        <w:t>经由</w:t>
      </w:r>
      <w:r>
        <w:rPr>
          <w:rFonts w:hint="eastAsia" w:ascii="Times New Roman" w:hAnsi="Times New Roman" w:eastAsia="仿宋_GB2312"/>
          <w:color w:val="auto"/>
          <w:sz w:val="32"/>
          <w:szCs w:val="32"/>
        </w:rPr>
        <w:t>宁河区财政局</w:t>
      </w:r>
      <w:r>
        <w:rPr>
          <w:rFonts w:hint="eastAsia" w:ascii="Times New Roman" w:hAnsi="Times New Roman" w:eastAsia="仿宋_GB2312"/>
          <w:color w:val="auto"/>
          <w:sz w:val="32"/>
          <w:szCs w:val="32"/>
          <w:lang w:eastAsia="zh-CN"/>
        </w:rPr>
        <w:t>设</w:t>
      </w:r>
      <w:r>
        <w:rPr>
          <w:rFonts w:hint="eastAsia" w:ascii="Times New Roman" w:hAnsi="Times New Roman" w:eastAsia="仿宋_GB2312"/>
          <w:color w:val="auto"/>
          <w:sz w:val="32"/>
          <w:szCs w:val="32"/>
        </w:rPr>
        <w:t>在中国农业发展银行宁河支行</w:t>
      </w:r>
      <w:r>
        <w:rPr>
          <w:rFonts w:hint="eastAsia" w:ascii="Times New Roman" w:hAnsi="Times New Roman" w:eastAsia="仿宋_GB2312"/>
          <w:color w:val="auto"/>
          <w:sz w:val="32"/>
          <w:szCs w:val="32"/>
          <w:lang w:eastAsia="zh-CN"/>
        </w:rPr>
        <w:t>的</w:t>
      </w:r>
      <w:r>
        <w:rPr>
          <w:rFonts w:hint="eastAsia" w:ascii="Times New Roman" w:hAnsi="Times New Roman" w:eastAsia="仿宋_GB2312"/>
          <w:color w:val="auto"/>
          <w:sz w:val="32"/>
          <w:szCs w:val="32"/>
        </w:rPr>
        <w:t>专户</w:t>
      </w:r>
      <w:r>
        <w:rPr>
          <w:rFonts w:ascii="Times New Roman" w:hAnsi="Times New Roman" w:eastAsia="仿宋_GB2312"/>
          <w:color w:val="auto"/>
          <w:sz w:val="32"/>
          <w:szCs w:val="32"/>
        </w:rPr>
        <w:t>进行核算和结算。按规定应收回</w:t>
      </w:r>
      <w:r>
        <w:rPr>
          <w:rFonts w:hint="eastAsia" w:ascii="Times New Roman" w:hAnsi="Times New Roman" w:eastAsia="仿宋_GB2312"/>
          <w:color w:val="auto"/>
          <w:sz w:val="32"/>
          <w:szCs w:val="32"/>
          <w:lang w:eastAsia="zh-CN"/>
        </w:rPr>
        <w:t>并经专户支出的</w:t>
      </w:r>
      <w:r>
        <w:rPr>
          <w:rFonts w:ascii="Times New Roman" w:hAnsi="Times New Roman" w:eastAsia="仿宋_GB2312"/>
          <w:color w:val="auto"/>
          <w:sz w:val="32"/>
          <w:szCs w:val="32"/>
        </w:rPr>
        <w:t>粮食风险基金</w:t>
      </w:r>
      <w:r>
        <w:rPr>
          <w:rFonts w:hint="eastAsia" w:ascii="Times New Roman" w:hAnsi="Times New Roman" w:eastAsia="仿宋_GB2312"/>
          <w:color w:val="auto"/>
          <w:sz w:val="32"/>
          <w:szCs w:val="32"/>
          <w:lang w:eastAsia="zh-CN"/>
        </w:rPr>
        <w:t>结余结转，</w:t>
      </w:r>
      <w:r>
        <w:rPr>
          <w:rFonts w:ascii="Times New Roman" w:hAnsi="Times New Roman" w:eastAsia="仿宋_GB2312"/>
          <w:color w:val="auto"/>
          <w:sz w:val="32"/>
          <w:szCs w:val="32"/>
        </w:rPr>
        <w:t>按原渠道收回至专户继续使用。粮食风险基金</w:t>
      </w:r>
      <w:r>
        <w:rPr>
          <w:rFonts w:hint="eastAsia" w:ascii="Times New Roman" w:hAnsi="Times New Roman" w:eastAsia="仿宋_GB2312"/>
          <w:color w:val="auto"/>
          <w:sz w:val="32"/>
          <w:szCs w:val="32"/>
          <w:lang w:eastAsia="zh-CN"/>
        </w:rPr>
        <w:t>按季按</w:t>
      </w:r>
      <w:r>
        <w:rPr>
          <w:rFonts w:ascii="Times New Roman" w:hAnsi="Times New Roman" w:eastAsia="仿宋_GB2312"/>
          <w:color w:val="auto"/>
          <w:sz w:val="32"/>
          <w:szCs w:val="32"/>
        </w:rPr>
        <w:t>单位活期存款利率计息，利息收入转增粮食风险基金本金，不得抵顶本级财政预算安排的资金</w:t>
      </w:r>
      <w:r>
        <w:rPr>
          <w:rFonts w:hint="eastAsia" w:ascii="Times New Roman" w:hAnsi="Times New Roman" w:eastAsia="仿宋_GB2312"/>
          <w:color w:val="auto"/>
          <w:sz w:val="32"/>
          <w:szCs w:val="32"/>
          <w:lang w:eastAsia="zh-CN"/>
        </w:rPr>
        <w:t>，也不得</w:t>
      </w:r>
      <w:r>
        <w:rPr>
          <w:rFonts w:ascii="Times New Roman" w:hAnsi="Times New Roman" w:eastAsia="仿宋_GB2312"/>
          <w:color w:val="auto"/>
          <w:sz w:val="32"/>
          <w:szCs w:val="32"/>
        </w:rPr>
        <w:t>挪作他用。</w:t>
      </w:r>
    </w:p>
    <w:p w14:paraId="621C4DE8">
      <w:pPr>
        <w:numPr>
          <w:ilvl w:val="0"/>
          <w:numId w:val="0"/>
        </w:num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lang w:eastAsia="zh-CN"/>
        </w:rPr>
        <w:t>第六条【</w:t>
      </w:r>
      <w:r>
        <w:rPr>
          <w:rFonts w:hint="eastAsia" w:ascii="黑体" w:hAnsi="黑体" w:eastAsia="黑体" w:cs="黑体"/>
          <w:color w:val="auto"/>
          <w:sz w:val="32"/>
          <w:szCs w:val="32"/>
          <w:lang w:val="en-US" w:eastAsia="zh-CN"/>
        </w:rPr>
        <w:t>预算构成</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 xml:space="preserve"> </w:t>
      </w:r>
      <w:r>
        <w:rPr>
          <w:rFonts w:ascii="Times New Roman" w:hAnsi="Times New Roman" w:eastAsia="仿宋_GB2312"/>
          <w:color w:val="auto"/>
          <w:sz w:val="32"/>
          <w:szCs w:val="32"/>
        </w:rPr>
        <w:t>区级粮食风险基金</w:t>
      </w:r>
      <w:r>
        <w:rPr>
          <w:rFonts w:hint="eastAsia" w:ascii="Times New Roman" w:hAnsi="Times New Roman" w:eastAsia="仿宋_GB2312"/>
          <w:color w:val="auto"/>
          <w:sz w:val="32"/>
          <w:szCs w:val="32"/>
          <w:lang w:eastAsia="zh-CN"/>
        </w:rPr>
        <w:t>来源</w:t>
      </w:r>
      <w:r>
        <w:rPr>
          <w:rFonts w:ascii="Times New Roman" w:hAnsi="Times New Roman" w:eastAsia="仿宋_GB2312"/>
          <w:color w:val="auto"/>
          <w:sz w:val="32"/>
          <w:szCs w:val="32"/>
        </w:rPr>
        <w:t>，由市级</w:t>
      </w:r>
      <w:r>
        <w:rPr>
          <w:rFonts w:hint="eastAsia" w:ascii="Times New Roman" w:hAnsi="Times New Roman" w:eastAsia="仿宋_GB2312"/>
          <w:color w:val="auto"/>
          <w:sz w:val="32"/>
          <w:szCs w:val="32"/>
          <w:lang w:eastAsia="zh-CN"/>
        </w:rPr>
        <w:t>财政定额</w:t>
      </w:r>
      <w:r>
        <w:rPr>
          <w:rFonts w:ascii="Times New Roman" w:hAnsi="Times New Roman" w:eastAsia="仿宋_GB2312"/>
          <w:color w:val="auto"/>
          <w:sz w:val="32"/>
          <w:szCs w:val="32"/>
        </w:rPr>
        <w:t>补助和区级预算</w:t>
      </w:r>
      <w:r>
        <w:rPr>
          <w:rFonts w:hint="eastAsia" w:ascii="Times New Roman" w:hAnsi="Times New Roman" w:eastAsia="仿宋_GB2312"/>
          <w:color w:val="auto"/>
          <w:sz w:val="32"/>
          <w:szCs w:val="32"/>
          <w:lang w:eastAsia="zh-CN"/>
        </w:rPr>
        <w:t>两部分</w:t>
      </w:r>
      <w:r>
        <w:rPr>
          <w:rFonts w:ascii="Times New Roman" w:hAnsi="Times New Roman" w:eastAsia="仿宋_GB2312"/>
          <w:color w:val="auto"/>
          <w:sz w:val="32"/>
          <w:szCs w:val="32"/>
        </w:rPr>
        <w:t>构成。市级财政每半年拨付一次补助</w:t>
      </w:r>
      <w:r>
        <w:rPr>
          <w:rFonts w:hint="eastAsia" w:ascii="Times New Roman" w:hAnsi="Times New Roman" w:eastAsia="仿宋_GB2312"/>
          <w:color w:val="auto"/>
          <w:sz w:val="32"/>
          <w:szCs w:val="32"/>
          <w:lang w:eastAsia="zh-CN"/>
        </w:rPr>
        <w:t>，市级财政对区级的定额补助，全部纳入区级粮食风险基金。</w:t>
      </w:r>
      <w:r>
        <w:rPr>
          <w:rFonts w:ascii="Times New Roman" w:hAnsi="Times New Roman" w:eastAsia="仿宋_GB2312"/>
          <w:color w:val="auto"/>
          <w:sz w:val="32"/>
          <w:szCs w:val="32"/>
        </w:rPr>
        <w:t>区财政</w:t>
      </w:r>
      <w:r>
        <w:rPr>
          <w:rFonts w:hint="eastAsia" w:ascii="Times New Roman" w:hAnsi="Times New Roman" w:eastAsia="仿宋_GB2312"/>
          <w:color w:val="auto"/>
          <w:sz w:val="32"/>
          <w:szCs w:val="32"/>
          <w:lang w:eastAsia="zh-CN"/>
        </w:rPr>
        <w:t>局及时</w:t>
      </w:r>
      <w:r>
        <w:rPr>
          <w:rFonts w:ascii="Times New Roman" w:hAnsi="Times New Roman" w:eastAsia="仿宋_GB2312"/>
          <w:color w:val="auto"/>
          <w:sz w:val="32"/>
          <w:szCs w:val="32"/>
        </w:rPr>
        <w:t>安排</w:t>
      </w:r>
      <w:r>
        <w:rPr>
          <w:rFonts w:hint="eastAsia" w:ascii="Times New Roman" w:hAnsi="Times New Roman" w:eastAsia="仿宋_GB2312"/>
          <w:color w:val="auto"/>
          <w:sz w:val="32"/>
          <w:szCs w:val="32"/>
          <w:lang w:eastAsia="zh-CN"/>
        </w:rPr>
        <w:t>区级预算</w:t>
      </w:r>
      <w:r>
        <w:rPr>
          <w:rFonts w:ascii="Times New Roman" w:hAnsi="Times New Roman" w:eastAsia="仿宋_GB2312"/>
          <w:color w:val="auto"/>
          <w:sz w:val="32"/>
          <w:szCs w:val="32"/>
        </w:rPr>
        <w:t>资金拨付。</w:t>
      </w:r>
    </w:p>
    <w:p w14:paraId="57915E8A">
      <w:pPr>
        <w:numPr>
          <w:ilvl w:val="0"/>
          <w:numId w:val="0"/>
        </w:num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lang w:eastAsia="zh-CN"/>
        </w:rPr>
        <w:t>第七条【</w:t>
      </w:r>
      <w:r>
        <w:rPr>
          <w:rFonts w:hint="eastAsia" w:ascii="黑体" w:hAnsi="黑体" w:eastAsia="黑体" w:cs="黑体"/>
          <w:color w:val="auto"/>
          <w:sz w:val="32"/>
          <w:szCs w:val="32"/>
          <w:lang w:val="en-US" w:eastAsia="zh-CN"/>
        </w:rPr>
        <w:t>使用范围</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级粮食风险基金必须按照</w:t>
      </w:r>
      <w:r>
        <w:rPr>
          <w:rFonts w:hint="eastAsia" w:ascii="Times New Roman" w:hAnsi="Times New Roman" w:eastAsia="仿宋_GB2312"/>
          <w:color w:val="auto"/>
          <w:sz w:val="32"/>
          <w:szCs w:val="32"/>
          <w:lang w:eastAsia="zh-CN"/>
        </w:rPr>
        <w:t>中央、市、区</w:t>
      </w:r>
      <w:r>
        <w:rPr>
          <w:rFonts w:ascii="Times New Roman" w:hAnsi="Times New Roman" w:eastAsia="仿宋_GB2312"/>
          <w:color w:val="auto"/>
          <w:sz w:val="32"/>
          <w:szCs w:val="32"/>
        </w:rPr>
        <w:t>有关规定使用，具体使用范围包括：</w:t>
      </w:r>
    </w:p>
    <w:p w14:paraId="0AF6ED13">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w:t>
      </w:r>
      <w:r>
        <w:rPr>
          <w:rFonts w:hint="eastAsia" w:ascii="Times New Roman" w:hAnsi="Times New Roman" w:eastAsia="仿宋_GB2312"/>
          <w:color w:val="auto"/>
          <w:sz w:val="32"/>
          <w:szCs w:val="32"/>
          <w:lang w:eastAsia="zh-CN"/>
        </w:rPr>
        <w:t>区级</w:t>
      </w:r>
      <w:r>
        <w:rPr>
          <w:rFonts w:ascii="Times New Roman" w:hAnsi="Times New Roman" w:eastAsia="仿宋_GB2312"/>
          <w:color w:val="auto"/>
          <w:sz w:val="32"/>
          <w:szCs w:val="32"/>
        </w:rPr>
        <w:t>储备粮</w:t>
      </w:r>
      <w:r>
        <w:rPr>
          <w:rFonts w:hint="eastAsia" w:ascii="Times New Roman" w:hAnsi="Times New Roman" w:eastAsia="仿宋_GB2312"/>
          <w:color w:val="auto"/>
          <w:sz w:val="32"/>
          <w:szCs w:val="32"/>
        </w:rPr>
        <w:t>贷款</w:t>
      </w:r>
      <w:r>
        <w:rPr>
          <w:rFonts w:ascii="Times New Roman" w:hAnsi="Times New Roman" w:eastAsia="仿宋_GB2312"/>
          <w:color w:val="auto"/>
          <w:sz w:val="32"/>
          <w:szCs w:val="32"/>
        </w:rPr>
        <w:t>利息和费用补贴；</w:t>
      </w:r>
    </w:p>
    <w:p w14:paraId="6A799675">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粮食应急供应保障体系建设；</w:t>
      </w:r>
    </w:p>
    <w:p w14:paraId="5B47A19B">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（三）区级储备粮轮换价差补贴；</w:t>
      </w:r>
    </w:p>
    <w:p w14:paraId="0282EB40">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区级</w:t>
      </w:r>
      <w:r>
        <w:rPr>
          <w:rFonts w:hint="eastAsia" w:ascii="Times New Roman" w:hAnsi="Times New Roman" w:eastAsia="仿宋_GB2312"/>
          <w:color w:val="auto"/>
          <w:sz w:val="32"/>
          <w:szCs w:val="32"/>
        </w:rPr>
        <w:t>储备粮</w:t>
      </w:r>
      <w:r>
        <w:rPr>
          <w:rFonts w:ascii="Times New Roman" w:hAnsi="Times New Roman" w:eastAsia="仿宋_GB2312"/>
          <w:color w:val="auto"/>
          <w:sz w:val="32"/>
          <w:szCs w:val="32"/>
        </w:rPr>
        <w:t>仓储设施</w:t>
      </w:r>
      <w:r>
        <w:rPr>
          <w:rFonts w:hint="eastAsia" w:ascii="Times New Roman" w:hAnsi="Times New Roman" w:eastAsia="仿宋_GB2312"/>
          <w:color w:val="auto"/>
          <w:sz w:val="32"/>
          <w:szCs w:val="32"/>
          <w:lang w:eastAsia="zh-CN"/>
        </w:rPr>
        <w:t>改造</w:t>
      </w:r>
      <w:r>
        <w:rPr>
          <w:rFonts w:ascii="Times New Roman" w:hAnsi="Times New Roman" w:eastAsia="仿宋_GB2312"/>
          <w:color w:val="auto"/>
          <w:sz w:val="32"/>
          <w:szCs w:val="32"/>
        </w:rPr>
        <w:t>建设；</w:t>
      </w:r>
    </w:p>
    <w:p w14:paraId="544FAC5C">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中央、市、区</w:t>
      </w:r>
      <w:r>
        <w:rPr>
          <w:rFonts w:ascii="Times New Roman" w:hAnsi="Times New Roman" w:eastAsia="仿宋_GB2312"/>
          <w:color w:val="auto"/>
          <w:sz w:val="32"/>
          <w:szCs w:val="32"/>
        </w:rPr>
        <w:t>规定用于粮食方面的其他政策性支出。</w:t>
      </w:r>
    </w:p>
    <w:p w14:paraId="303BC803">
      <w:pPr>
        <w:spacing w:line="560" w:lineRule="exact"/>
        <w:ind w:firstLine="640" w:firstLineChars="200"/>
        <w:rPr>
          <w:rFonts w:hint="eastAsia" w:ascii="Times New Roman" w:hAnsi="Times New Roman" w:eastAsia="仿宋_GB2312"/>
          <w:b w:val="0"/>
          <w:bCs w:val="0"/>
          <w:color w:val="auto"/>
          <w:sz w:val="32"/>
          <w:szCs w:val="32"/>
          <w:lang w:eastAsia="zh-CN"/>
        </w:rPr>
      </w:pPr>
      <w:r>
        <w:rPr>
          <w:rFonts w:hint="eastAsia" w:ascii="黑体" w:hAnsi="黑体" w:eastAsia="黑体" w:cs="黑体"/>
          <w:b w:val="0"/>
          <w:bCs w:val="0"/>
          <w:color w:val="auto"/>
          <w:sz w:val="32"/>
          <w:szCs w:val="32"/>
        </w:rPr>
        <w:t>第八条</w:t>
      </w:r>
      <w:r>
        <w:rPr>
          <w:rFonts w:hint="eastAsia" w:ascii="黑体" w:hAnsi="黑体" w:eastAsia="黑体" w:cs="黑体"/>
          <w:b w:val="0"/>
          <w:bCs w:val="0"/>
          <w:color w:val="auto"/>
          <w:sz w:val="32"/>
          <w:szCs w:val="32"/>
          <w:lang w:eastAsia="zh-CN"/>
        </w:rPr>
        <w:t>【监督部门责任及使用程序】</w:t>
      </w:r>
      <w:r>
        <w:rPr>
          <w:rFonts w:hint="eastAsia" w:ascii="Times New Roman" w:hAnsi="Times New Roman" w:eastAsia="仿宋_GB2312"/>
          <w:b w:val="0"/>
          <w:bCs w:val="0"/>
          <w:color w:val="auto"/>
          <w:sz w:val="32"/>
          <w:szCs w:val="32"/>
        </w:rPr>
        <w:t xml:space="preserve"> </w:t>
      </w:r>
      <w:r>
        <w:rPr>
          <w:rFonts w:hint="eastAsia" w:ascii="Times New Roman" w:hAnsi="Times New Roman" w:eastAsia="仿宋_GB2312"/>
          <w:b w:val="0"/>
          <w:bCs w:val="0"/>
          <w:color w:val="auto"/>
          <w:sz w:val="32"/>
          <w:szCs w:val="32"/>
          <w:lang w:eastAsia="zh-CN"/>
        </w:rPr>
        <w:t>区发展改革委负责粮油储备监管工作，由区级储备粮运营管理企业向区发展改革委和区财政局申报区级储备粮的贷款利息、管理费用、轮换价差、仓储设施改造等粮食风险基金补助的费用、项目、预算，区发展改革委与区财政局共同对</w:t>
      </w:r>
      <w:r>
        <w:rPr>
          <w:rFonts w:hint="eastAsia" w:ascii="Times New Roman" w:hAnsi="Times New Roman" w:eastAsia="仿宋_GB2312"/>
          <w:b w:val="0"/>
          <w:bCs w:val="0"/>
          <w:color w:val="auto"/>
          <w:sz w:val="32"/>
          <w:szCs w:val="32"/>
        </w:rPr>
        <w:t>申报</w:t>
      </w:r>
      <w:r>
        <w:rPr>
          <w:rFonts w:hint="eastAsia" w:ascii="Times New Roman" w:hAnsi="Times New Roman" w:eastAsia="仿宋_GB2312"/>
          <w:b w:val="0"/>
          <w:bCs w:val="0"/>
          <w:color w:val="auto"/>
          <w:sz w:val="32"/>
          <w:szCs w:val="32"/>
          <w:lang w:eastAsia="zh-CN"/>
        </w:rPr>
        <w:t>内容</w:t>
      </w:r>
      <w:r>
        <w:rPr>
          <w:rFonts w:hint="eastAsia" w:ascii="Times New Roman" w:hAnsi="Times New Roman" w:eastAsia="仿宋_GB2312"/>
          <w:b w:val="0"/>
          <w:bCs w:val="0"/>
          <w:color w:val="auto"/>
          <w:sz w:val="32"/>
          <w:szCs w:val="32"/>
        </w:rPr>
        <w:t>进行</w:t>
      </w:r>
      <w:r>
        <w:rPr>
          <w:rFonts w:hint="eastAsia" w:ascii="Times New Roman" w:hAnsi="Times New Roman" w:eastAsia="仿宋_GB2312"/>
          <w:b w:val="0"/>
          <w:bCs w:val="0"/>
          <w:color w:val="auto"/>
          <w:sz w:val="32"/>
          <w:szCs w:val="32"/>
          <w:lang w:eastAsia="zh-CN"/>
        </w:rPr>
        <w:t>审核，并与区财政局共同编制区级粮食风险基金预算及绩效目标，对区级粮食风险基金的具体使用情况实施绩效评价和监督管理。负责对区级储备运营管理企业</w:t>
      </w:r>
      <w:r>
        <w:rPr>
          <w:rFonts w:hint="eastAsia" w:ascii="Times New Roman" w:hAnsi="Times New Roman" w:eastAsia="仿宋_GB2312"/>
          <w:b w:val="0"/>
          <w:bCs w:val="0"/>
          <w:color w:val="auto"/>
          <w:sz w:val="32"/>
          <w:szCs w:val="32"/>
        </w:rPr>
        <w:t>实施</w:t>
      </w:r>
      <w:r>
        <w:rPr>
          <w:rFonts w:hint="eastAsia" w:ascii="Times New Roman" w:hAnsi="Times New Roman" w:eastAsia="仿宋_GB2312"/>
          <w:b w:val="0"/>
          <w:bCs w:val="0"/>
          <w:color w:val="auto"/>
          <w:sz w:val="32"/>
          <w:szCs w:val="32"/>
          <w:lang w:eastAsia="zh-CN"/>
        </w:rPr>
        <w:t>的</w:t>
      </w:r>
      <w:r>
        <w:rPr>
          <w:rFonts w:hint="eastAsia" w:ascii="Times New Roman" w:hAnsi="Times New Roman" w:eastAsia="仿宋_GB2312"/>
          <w:b w:val="0"/>
          <w:bCs w:val="0"/>
          <w:color w:val="auto"/>
          <w:sz w:val="32"/>
          <w:szCs w:val="32"/>
        </w:rPr>
        <w:t>粮油储备管理工作进行指导和监管</w:t>
      </w:r>
      <w:r>
        <w:rPr>
          <w:rFonts w:hint="eastAsia" w:ascii="Times New Roman" w:hAnsi="Times New Roman" w:eastAsia="仿宋_GB2312"/>
          <w:b w:val="0"/>
          <w:bCs w:val="0"/>
          <w:color w:val="auto"/>
          <w:sz w:val="32"/>
          <w:szCs w:val="32"/>
          <w:lang w:eastAsia="zh-CN"/>
        </w:rPr>
        <w:t>。</w:t>
      </w:r>
    </w:p>
    <w:p w14:paraId="62AF2602">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发展改革委</w:t>
      </w:r>
      <w:r>
        <w:rPr>
          <w:rFonts w:hint="eastAsia" w:ascii="Times New Roman" w:hAnsi="Times New Roman" w:eastAsia="仿宋_GB2312"/>
          <w:color w:val="auto"/>
          <w:sz w:val="32"/>
          <w:szCs w:val="32"/>
          <w:lang w:eastAsia="zh-CN"/>
        </w:rPr>
        <w:t>按照市发展改革委和市粮食局核定规模的要求负责</w:t>
      </w:r>
      <w:r>
        <w:rPr>
          <w:rFonts w:hint="eastAsia" w:ascii="Times New Roman" w:hAnsi="Times New Roman" w:eastAsia="仿宋_GB2312"/>
          <w:color w:val="auto"/>
          <w:sz w:val="32"/>
          <w:szCs w:val="32"/>
        </w:rPr>
        <w:t>审核我</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地方储备粮规模和品种结构，</w:t>
      </w:r>
      <w:r>
        <w:rPr>
          <w:rFonts w:hint="eastAsia" w:ascii="Times New Roman" w:hAnsi="Times New Roman" w:eastAsia="仿宋_GB2312"/>
          <w:color w:val="auto"/>
          <w:sz w:val="32"/>
          <w:szCs w:val="32"/>
          <w:lang w:eastAsia="zh-CN"/>
        </w:rPr>
        <w:t>并提出建议</w:t>
      </w:r>
      <w:r>
        <w:rPr>
          <w:rFonts w:hint="eastAsia" w:ascii="Times New Roman" w:hAnsi="Times New Roman" w:eastAsia="仿宋_GB2312"/>
          <w:color w:val="auto"/>
          <w:sz w:val="32"/>
          <w:szCs w:val="32"/>
        </w:rPr>
        <w:t>报</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人民政府审批</w:t>
      </w:r>
      <w:r>
        <w:rPr>
          <w:rFonts w:hint="eastAsia" w:ascii="Times New Roman" w:hAnsi="Times New Roman" w:eastAsia="仿宋_GB2312"/>
          <w:color w:val="auto"/>
          <w:sz w:val="32"/>
          <w:szCs w:val="32"/>
          <w:lang w:eastAsia="zh-CN"/>
        </w:rPr>
        <w:t>。</w:t>
      </w:r>
    </w:p>
    <w:p w14:paraId="1646258A">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财政局</w:t>
      </w:r>
      <w:r>
        <w:rPr>
          <w:rFonts w:ascii="Times New Roman" w:hAnsi="Times New Roman" w:eastAsia="仿宋_GB2312"/>
          <w:color w:val="auto"/>
          <w:sz w:val="32"/>
          <w:szCs w:val="32"/>
        </w:rPr>
        <w:t>负责安排</w:t>
      </w:r>
      <w:r>
        <w:rPr>
          <w:rFonts w:hint="eastAsia" w:ascii="Times New Roman" w:hAnsi="Times New Roman" w:eastAsia="仿宋_GB2312"/>
          <w:color w:val="auto"/>
          <w:sz w:val="32"/>
          <w:szCs w:val="32"/>
          <w:lang w:eastAsia="zh-CN"/>
        </w:rPr>
        <w:t>粮食风险市级补助和区级预算</w:t>
      </w:r>
      <w:r>
        <w:rPr>
          <w:rFonts w:hint="eastAsia" w:ascii="Times New Roman" w:hAnsi="Times New Roman" w:eastAsia="仿宋_GB2312"/>
          <w:color w:val="auto"/>
          <w:sz w:val="32"/>
          <w:szCs w:val="32"/>
        </w:rPr>
        <w:t>，并办理资金拨付。</w:t>
      </w:r>
      <w:r>
        <w:rPr>
          <w:rFonts w:hint="eastAsia" w:ascii="Times New Roman" w:hAnsi="Times New Roman" w:eastAsia="仿宋_GB2312"/>
          <w:color w:val="auto"/>
          <w:sz w:val="32"/>
          <w:szCs w:val="32"/>
          <w:lang w:eastAsia="zh-CN"/>
        </w:rPr>
        <w:t>粮食风险</w:t>
      </w:r>
      <w:r>
        <w:rPr>
          <w:rFonts w:hint="eastAsia" w:ascii="Times New Roman" w:hAnsi="Times New Roman" w:eastAsia="仿宋_GB2312"/>
          <w:color w:val="auto"/>
          <w:sz w:val="32"/>
          <w:szCs w:val="32"/>
          <w:lang w:val="en-US" w:eastAsia="zh-CN"/>
        </w:rPr>
        <w:t>基金用于支付利息和存储费用时，由区相关部门通过农业发展银行宁河支行专户向区级储备粮运营管理企业拨付。支付的粮食储存费用和利息，按月拨付，定期清算。区财政</w:t>
      </w:r>
      <w:r>
        <w:rPr>
          <w:rFonts w:hint="eastAsia" w:ascii="Times New Roman" w:hAnsi="Times New Roman" w:eastAsia="仿宋_GB2312"/>
          <w:color w:val="auto"/>
          <w:sz w:val="32"/>
          <w:szCs w:val="32"/>
        </w:rPr>
        <w:t>负责对</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级粮食风险基金的具体使用情况实施</w:t>
      </w:r>
      <w:r>
        <w:rPr>
          <w:rFonts w:hint="eastAsia" w:ascii="Times New Roman" w:hAnsi="Times New Roman" w:eastAsia="仿宋_GB2312"/>
          <w:color w:val="auto"/>
          <w:sz w:val="32"/>
          <w:szCs w:val="32"/>
          <w:lang w:eastAsia="zh-CN"/>
        </w:rPr>
        <w:t>项目</w:t>
      </w:r>
      <w:r>
        <w:rPr>
          <w:rFonts w:hint="eastAsia" w:ascii="Times New Roman" w:hAnsi="Times New Roman" w:eastAsia="仿宋_GB2312"/>
          <w:color w:val="auto"/>
          <w:sz w:val="32"/>
          <w:szCs w:val="32"/>
        </w:rPr>
        <w:t>绩效</w:t>
      </w:r>
      <w:r>
        <w:rPr>
          <w:rFonts w:hint="eastAsia" w:ascii="Times New Roman" w:hAnsi="Times New Roman" w:eastAsia="仿宋_GB2312"/>
          <w:color w:val="auto"/>
          <w:sz w:val="32"/>
          <w:szCs w:val="32"/>
          <w:lang w:eastAsia="zh-CN"/>
        </w:rPr>
        <w:t>评价和</w:t>
      </w:r>
      <w:r>
        <w:rPr>
          <w:rFonts w:hint="eastAsia" w:ascii="Times New Roman" w:hAnsi="Times New Roman" w:eastAsia="仿宋_GB2312"/>
          <w:color w:val="auto"/>
          <w:sz w:val="32"/>
          <w:szCs w:val="32"/>
        </w:rPr>
        <w:t>监督管理，必要时可委托第三方机构组织实施。</w:t>
      </w:r>
    </w:p>
    <w:p w14:paraId="2D15616B">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农发行宁河支行</w:t>
      </w:r>
      <w:r>
        <w:rPr>
          <w:rFonts w:ascii="Times New Roman" w:hAnsi="Times New Roman" w:eastAsia="仿宋_GB2312"/>
          <w:color w:val="auto"/>
          <w:sz w:val="32"/>
          <w:szCs w:val="32"/>
        </w:rPr>
        <w:t>负责粮食风险基金专户资金划拨、柜台监督和及时收放贷款</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依据</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财政局开</w:t>
      </w:r>
      <w:r>
        <w:rPr>
          <w:rFonts w:hint="eastAsia" w:ascii="Times New Roman" w:hAnsi="Times New Roman" w:eastAsia="仿宋_GB2312"/>
          <w:color w:val="auto"/>
          <w:sz w:val="32"/>
          <w:szCs w:val="32"/>
        </w:rPr>
        <w:t>具</w:t>
      </w:r>
      <w:r>
        <w:rPr>
          <w:rFonts w:ascii="Times New Roman" w:hAnsi="Times New Roman" w:eastAsia="仿宋_GB2312"/>
          <w:color w:val="auto"/>
          <w:sz w:val="32"/>
          <w:szCs w:val="32"/>
        </w:rPr>
        <w:t>的拨款通知书当日（节假日顺延）将资金拨付到</w:t>
      </w:r>
      <w:r>
        <w:rPr>
          <w:rFonts w:hint="eastAsia" w:ascii="Times New Roman" w:hAnsi="Times New Roman" w:eastAsia="仿宋_GB2312"/>
          <w:color w:val="auto"/>
          <w:sz w:val="32"/>
          <w:szCs w:val="32"/>
          <w:lang w:eastAsia="zh-CN"/>
        </w:rPr>
        <w:t>区粮食承储企业</w:t>
      </w:r>
      <w:r>
        <w:rPr>
          <w:rFonts w:ascii="Times New Roman" w:hAnsi="Times New Roman" w:eastAsia="仿宋_GB2312"/>
          <w:color w:val="auto"/>
          <w:sz w:val="32"/>
          <w:szCs w:val="32"/>
        </w:rPr>
        <w:t>。</w:t>
      </w:r>
    </w:p>
    <w:p w14:paraId="5C9501E2">
      <w:p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第九条</w:t>
      </w:r>
      <w:r>
        <w:rPr>
          <w:rFonts w:hint="eastAsia" w:ascii="黑体" w:hAnsi="黑体" w:eastAsia="黑体" w:cs="黑体"/>
          <w:color w:val="auto"/>
          <w:sz w:val="32"/>
          <w:szCs w:val="32"/>
          <w:lang w:eastAsia="zh-CN"/>
        </w:rPr>
        <w:t>【企业职责】</w:t>
      </w:r>
      <w:r>
        <w:rPr>
          <w:rFonts w:hint="eastAsia" w:ascii="Times New Roman" w:hAnsi="Times New Roman" w:eastAsia="仿宋_GB2312"/>
          <w:color w:val="auto"/>
          <w:sz w:val="32"/>
          <w:szCs w:val="32"/>
          <w:lang w:eastAsia="zh-CN"/>
        </w:rPr>
        <w:t>区级储备运营管理企业</w:t>
      </w:r>
      <w:r>
        <w:rPr>
          <w:rFonts w:ascii="Times New Roman" w:hAnsi="Times New Roman" w:eastAsia="仿宋_GB2312"/>
          <w:color w:val="auto"/>
          <w:sz w:val="32"/>
          <w:szCs w:val="32"/>
        </w:rPr>
        <w:t>应对</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级储备粮费用补贴认真核算，</w:t>
      </w:r>
      <w:r>
        <w:rPr>
          <w:rFonts w:hint="eastAsia" w:ascii="Times New Roman" w:hAnsi="Times New Roman" w:eastAsia="仿宋_GB2312"/>
          <w:color w:val="auto"/>
          <w:sz w:val="32"/>
          <w:szCs w:val="32"/>
          <w:lang w:eastAsia="zh-CN"/>
        </w:rPr>
        <w:t>按月申报储存费用，并对</w:t>
      </w:r>
      <w:r>
        <w:rPr>
          <w:rFonts w:ascii="Times New Roman" w:hAnsi="Times New Roman" w:eastAsia="仿宋_GB2312"/>
          <w:color w:val="auto"/>
          <w:sz w:val="32"/>
          <w:szCs w:val="32"/>
        </w:rPr>
        <w:t>费用补贴资金申报的真实、完整</w:t>
      </w:r>
      <w:r>
        <w:rPr>
          <w:rFonts w:hint="eastAsia" w:ascii="Times New Roman" w:hAnsi="Times New Roman" w:eastAsia="仿宋_GB2312"/>
          <w:color w:val="auto"/>
          <w:sz w:val="32"/>
          <w:szCs w:val="32"/>
          <w:lang w:eastAsia="zh-CN"/>
        </w:rPr>
        <w:t>负责</w:t>
      </w:r>
      <w:r>
        <w:rPr>
          <w:rFonts w:ascii="Times New Roman" w:hAnsi="Times New Roman" w:eastAsia="仿宋_GB2312"/>
          <w:color w:val="auto"/>
          <w:sz w:val="32"/>
          <w:szCs w:val="32"/>
        </w:rPr>
        <w:t>；要加强对贷款资金的管理，</w:t>
      </w:r>
      <w:r>
        <w:rPr>
          <w:rFonts w:hint="eastAsia" w:ascii="Times New Roman" w:hAnsi="Times New Roman" w:eastAsia="仿宋_GB2312"/>
          <w:color w:val="auto"/>
          <w:sz w:val="32"/>
          <w:szCs w:val="32"/>
          <w:lang w:eastAsia="zh-CN"/>
        </w:rPr>
        <w:t>轮换销售回笼资金后，</w:t>
      </w:r>
      <w:r>
        <w:rPr>
          <w:rFonts w:ascii="Times New Roman" w:hAnsi="Times New Roman" w:eastAsia="仿宋_GB2312"/>
          <w:color w:val="auto"/>
          <w:sz w:val="32"/>
          <w:szCs w:val="32"/>
        </w:rPr>
        <w:t>涉及贷款本金及利息的，应及时归还</w:t>
      </w:r>
      <w:r>
        <w:rPr>
          <w:rFonts w:hint="eastAsia" w:ascii="Times New Roman" w:hAnsi="Times New Roman" w:eastAsia="仿宋_GB2312"/>
          <w:color w:val="auto"/>
          <w:sz w:val="32"/>
          <w:szCs w:val="32"/>
          <w:lang w:eastAsia="zh-CN"/>
        </w:rPr>
        <w:t>农发行宁河支行</w:t>
      </w:r>
      <w:r>
        <w:rPr>
          <w:rFonts w:ascii="Times New Roman" w:hAnsi="Times New Roman" w:eastAsia="仿宋_GB2312"/>
          <w:color w:val="auto"/>
          <w:sz w:val="32"/>
          <w:szCs w:val="32"/>
        </w:rPr>
        <w:t>，不得以任何借口截留、挪用。</w:t>
      </w:r>
      <w:r>
        <w:rPr>
          <w:rFonts w:hint="eastAsia" w:ascii="Times New Roman" w:hAnsi="Times New Roman" w:eastAsia="仿宋_GB2312"/>
          <w:color w:val="auto"/>
          <w:sz w:val="32"/>
          <w:szCs w:val="32"/>
          <w:lang w:eastAsia="zh-CN"/>
        </w:rPr>
        <w:t>农发行宁河支行</w:t>
      </w:r>
      <w:r>
        <w:rPr>
          <w:rFonts w:ascii="Times New Roman" w:hAnsi="Times New Roman" w:eastAsia="仿宋_GB2312"/>
          <w:color w:val="auto"/>
          <w:sz w:val="32"/>
          <w:szCs w:val="32"/>
        </w:rPr>
        <w:t>收到归还贷款申请后，应及时核对并收回贷款。</w:t>
      </w:r>
    </w:p>
    <w:p w14:paraId="35E52728">
      <w:p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第十条</w:t>
      </w:r>
      <w:r>
        <w:rPr>
          <w:rFonts w:hint="eastAsia" w:ascii="黑体" w:hAnsi="黑体" w:eastAsia="黑体" w:cs="黑体"/>
          <w:color w:val="auto"/>
          <w:sz w:val="32"/>
          <w:szCs w:val="32"/>
          <w:lang w:eastAsia="zh-CN"/>
        </w:rPr>
        <w:t>【绩效管理】</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粮食监管</w:t>
      </w:r>
      <w:r>
        <w:rPr>
          <w:rFonts w:ascii="Times New Roman" w:hAnsi="Times New Roman" w:eastAsia="仿宋_GB2312"/>
          <w:color w:val="auto"/>
          <w:sz w:val="32"/>
          <w:szCs w:val="32"/>
        </w:rPr>
        <w:t>各</w:t>
      </w:r>
      <w:r>
        <w:rPr>
          <w:rFonts w:hint="eastAsia" w:ascii="Times New Roman" w:hAnsi="Times New Roman" w:eastAsia="仿宋_GB2312"/>
          <w:color w:val="auto"/>
          <w:sz w:val="32"/>
          <w:szCs w:val="32"/>
          <w:lang w:eastAsia="zh-CN"/>
        </w:rPr>
        <w:t>相关</w:t>
      </w:r>
      <w:r>
        <w:rPr>
          <w:rFonts w:ascii="Times New Roman" w:hAnsi="Times New Roman" w:eastAsia="仿宋_GB2312"/>
          <w:color w:val="auto"/>
          <w:sz w:val="32"/>
          <w:szCs w:val="32"/>
        </w:rPr>
        <w:t>部门按照全面实施预算绩效管理有关要求，</w:t>
      </w:r>
      <w:r>
        <w:rPr>
          <w:rFonts w:hint="eastAsia" w:ascii="Times New Roman" w:hAnsi="Times New Roman" w:eastAsia="仿宋_GB2312"/>
          <w:color w:val="auto"/>
          <w:sz w:val="32"/>
          <w:szCs w:val="32"/>
          <w:lang w:eastAsia="zh-CN"/>
        </w:rPr>
        <w:t>实施</w:t>
      </w:r>
      <w:r>
        <w:rPr>
          <w:rFonts w:hint="eastAsia" w:ascii="Times New Roman" w:hAnsi="Times New Roman" w:eastAsia="仿宋_GB2312"/>
          <w:color w:val="auto"/>
          <w:sz w:val="32"/>
          <w:szCs w:val="32"/>
        </w:rPr>
        <w:t>项目</w:t>
      </w:r>
      <w:r>
        <w:rPr>
          <w:rFonts w:ascii="Times New Roman" w:hAnsi="Times New Roman" w:eastAsia="仿宋_GB2312"/>
          <w:color w:val="auto"/>
          <w:sz w:val="32"/>
          <w:szCs w:val="32"/>
        </w:rPr>
        <w:t>绩效管理</w:t>
      </w:r>
      <w:r>
        <w:rPr>
          <w:rFonts w:hint="eastAsia" w:ascii="Times New Roman" w:hAnsi="Times New Roman" w:eastAsia="仿宋_GB2312"/>
          <w:color w:val="auto"/>
          <w:sz w:val="32"/>
          <w:szCs w:val="32"/>
          <w:lang w:eastAsia="zh-CN"/>
        </w:rPr>
        <w:t>。并</w:t>
      </w:r>
      <w:r>
        <w:rPr>
          <w:rFonts w:ascii="Times New Roman" w:hAnsi="Times New Roman" w:eastAsia="仿宋_GB2312"/>
          <w:color w:val="auto"/>
          <w:sz w:val="32"/>
          <w:szCs w:val="32"/>
        </w:rPr>
        <w:t>做好信息公开工作，主动向社会公开</w:t>
      </w:r>
      <w:r>
        <w:rPr>
          <w:rFonts w:hint="eastAsia" w:ascii="Times New Roman" w:hAnsi="Times New Roman" w:eastAsia="仿宋_GB2312"/>
          <w:color w:val="auto"/>
          <w:sz w:val="32"/>
          <w:szCs w:val="32"/>
          <w:lang w:eastAsia="zh-CN"/>
        </w:rPr>
        <w:t>除涉密内容外的</w:t>
      </w:r>
      <w:r>
        <w:rPr>
          <w:rFonts w:ascii="Times New Roman" w:hAnsi="Times New Roman" w:eastAsia="仿宋_GB2312"/>
          <w:color w:val="auto"/>
          <w:sz w:val="32"/>
          <w:szCs w:val="32"/>
        </w:rPr>
        <w:t>管理政策等。</w:t>
      </w:r>
      <w:r>
        <w:rPr>
          <w:rFonts w:hint="eastAsia" w:ascii="Times New Roman" w:hAnsi="Times New Roman" w:eastAsia="仿宋_GB2312"/>
          <w:color w:val="auto"/>
          <w:sz w:val="32"/>
          <w:szCs w:val="32"/>
          <w:lang w:eastAsia="zh-CN"/>
        </w:rPr>
        <w:t>粮食监管</w:t>
      </w:r>
      <w:r>
        <w:rPr>
          <w:rFonts w:ascii="Times New Roman" w:hAnsi="Times New Roman" w:eastAsia="仿宋_GB2312"/>
          <w:color w:val="auto"/>
          <w:sz w:val="32"/>
          <w:szCs w:val="32"/>
        </w:rPr>
        <w:t>各</w:t>
      </w:r>
      <w:r>
        <w:rPr>
          <w:rFonts w:hint="eastAsia" w:ascii="Times New Roman" w:hAnsi="Times New Roman" w:eastAsia="仿宋_GB2312"/>
          <w:color w:val="auto"/>
          <w:sz w:val="32"/>
          <w:szCs w:val="32"/>
          <w:lang w:eastAsia="zh-CN"/>
        </w:rPr>
        <w:t>相关</w:t>
      </w:r>
      <w:r>
        <w:rPr>
          <w:rFonts w:ascii="Times New Roman" w:hAnsi="Times New Roman" w:eastAsia="仿宋_GB2312"/>
          <w:color w:val="auto"/>
          <w:sz w:val="32"/>
          <w:szCs w:val="32"/>
        </w:rPr>
        <w:t>部门及工作人员在粮食风险基金管理中存在违法违纪行为的，</w:t>
      </w:r>
      <w:r>
        <w:rPr>
          <w:rFonts w:hint="eastAsia" w:ascii="Times New Roman" w:hAnsi="Times New Roman" w:eastAsia="仿宋_GB2312"/>
          <w:color w:val="auto"/>
          <w:sz w:val="32"/>
          <w:szCs w:val="32"/>
          <w:lang w:eastAsia="zh-CN"/>
        </w:rPr>
        <w:t>依法移送纪检等</w:t>
      </w:r>
      <w:r>
        <w:rPr>
          <w:rFonts w:ascii="Times New Roman" w:hAnsi="Times New Roman" w:eastAsia="仿宋_GB2312"/>
          <w:color w:val="auto"/>
          <w:sz w:val="32"/>
          <w:szCs w:val="32"/>
        </w:rPr>
        <w:t>国家</w:t>
      </w:r>
      <w:r>
        <w:rPr>
          <w:rFonts w:hint="eastAsia" w:ascii="Times New Roman" w:hAnsi="Times New Roman" w:eastAsia="仿宋_GB2312"/>
          <w:color w:val="auto"/>
          <w:sz w:val="32"/>
          <w:szCs w:val="32"/>
          <w:lang w:eastAsia="zh-CN"/>
        </w:rPr>
        <w:t>监察机关</w:t>
      </w:r>
      <w:r>
        <w:rPr>
          <w:rFonts w:ascii="Times New Roman" w:hAnsi="Times New Roman" w:eastAsia="仿宋_GB2312"/>
          <w:color w:val="auto"/>
          <w:sz w:val="32"/>
          <w:szCs w:val="32"/>
        </w:rPr>
        <w:t>追究相应责任</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构成犯罪的，</w:t>
      </w:r>
      <w:r>
        <w:rPr>
          <w:rFonts w:hint="eastAsia" w:ascii="Times New Roman" w:hAnsi="Times New Roman" w:eastAsia="仿宋_GB2312"/>
          <w:color w:val="auto"/>
          <w:sz w:val="32"/>
          <w:szCs w:val="32"/>
          <w:lang w:eastAsia="zh-CN"/>
        </w:rPr>
        <w:t>移送公安、司法部门</w:t>
      </w:r>
      <w:r>
        <w:rPr>
          <w:rFonts w:ascii="Times New Roman" w:hAnsi="Times New Roman" w:eastAsia="仿宋_GB2312"/>
          <w:color w:val="auto"/>
          <w:sz w:val="32"/>
          <w:szCs w:val="32"/>
        </w:rPr>
        <w:t>追究刑事责任。</w:t>
      </w:r>
    </w:p>
    <w:p w14:paraId="60898E81">
      <w:p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第十一条</w:t>
      </w:r>
      <w:r>
        <w:rPr>
          <w:rFonts w:hint="eastAsia" w:ascii="黑体" w:hAnsi="黑体" w:eastAsia="黑体" w:cs="黑体"/>
          <w:color w:val="auto"/>
          <w:sz w:val="32"/>
          <w:szCs w:val="32"/>
          <w:lang w:eastAsia="zh-CN"/>
        </w:rPr>
        <w:t>【档案管理】</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区财政局、区发展改革委、农业发展银行宁河支行要密切配合、及时沟通，加强粮食风险基金拨付和使用情况的监督，做好各自档案管理。区</w:t>
      </w:r>
      <w:r>
        <w:rPr>
          <w:rFonts w:hint="eastAsia" w:ascii="Times New Roman" w:hAnsi="Times New Roman" w:eastAsia="仿宋_GB2312"/>
          <w:color w:val="auto"/>
          <w:sz w:val="32"/>
          <w:szCs w:val="32"/>
        </w:rPr>
        <w:t>粮食监管各相关部门</w:t>
      </w:r>
      <w:r>
        <w:rPr>
          <w:rFonts w:ascii="Times New Roman" w:hAnsi="Times New Roman" w:eastAsia="仿宋_GB2312"/>
          <w:color w:val="auto"/>
          <w:sz w:val="32"/>
          <w:szCs w:val="32"/>
        </w:rPr>
        <w:t>于每年1月底前将上年度粮食风险基金报表和使用情况报市财政局、市</w:t>
      </w:r>
      <w:r>
        <w:rPr>
          <w:rFonts w:hint="eastAsia" w:ascii="Times New Roman" w:hAnsi="Times New Roman" w:eastAsia="仿宋_GB2312"/>
          <w:color w:val="auto"/>
          <w:sz w:val="32"/>
          <w:szCs w:val="32"/>
          <w:lang w:eastAsia="zh-CN"/>
        </w:rPr>
        <w:t>粮食和物资储备局</w:t>
      </w:r>
      <w:r>
        <w:rPr>
          <w:rFonts w:ascii="Times New Roman" w:hAnsi="Times New Roman" w:eastAsia="仿宋_GB2312"/>
          <w:color w:val="auto"/>
          <w:sz w:val="32"/>
          <w:szCs w:val="32"/>
        </w:rPr>
        <w:t>、中国农业发展银行天津市分行。</w:t>
      </w:r>
    </w:p>
    <w:p w14:paraId="43205890">
      <w:p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ascii="Times New Roman" w:hAnsi="Times New Roman" w:eastAsia="仿宋_GB2312"/>
          <w:color w:val="auto"/>
          <w:sz w:val="32"/>
          <w:szCs w:val="32"/>
        </w:rPr>
        <w:t xml:space="preserve"> 本办法自印发之日起施行。</w:t>
      </w:r>
    </w:p>
    <w:p w14:paraId="3315929D">
      <w:pPr>
        <w:spacing w:line="560" w:lineRule="exact"/>
        <w:rPr>
          <w:rFonts w:ascii="Times New Roman" w:hAnsi="Times New Roman" w:eastAsia="仿宋_GB2312"/>
          <w:color w:val="auto"/>
          <w:sz w:val="32"/>
          <w:szCs w:val="32"/>
        </w:rPr>
      </w:pPr>
    </w:p>
    <w:sectPr>
      <w:footerReference r:id="rId3" w:type="default"/>
      <w:pgSz w:w="11906" w:h="16838"/>
      <w:pgMar w:top="209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064929-7820-4301-B801-4043DCBCD0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宋体"/>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4C3D52A9-415D-4C88-AEA2-8776FA3E6E2D}"/>
  </w:font>
  <w:font w:name="仿宋_GB2312">
    <w:panose1 w:val="02010609030101010101"/>
    <w:charset w:val="86"/>
    <w:family w:val="modern"/>
    <w:pitch w:val="default"/>
    <w:sig w:usb0="00000001" w:usb1="080E0000" w:usb2="00000000" w:usb3="00000000" w:csb0="00040000" w:csb1="00000000"/>
    <w:embedRegular r:id="rId3" w:fontKey="{51A8800F-5F8E-46D2-A134-60EEC666F4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9A2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3959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A3959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23507D"/>
    <w:rsid w:val="00003B55"/>
    <w:rsid w:val="00005C6C"/>
    <w:rsid w:val="000C1588"/>
    <w:rsid w:val="0023507D"/>
    <w:rsid w:val="002D0BB1"/>
    <w:rsid w:val="00320F71"/>
    <w:rsid w:val="00354C45"/>
    <w:rsid w:val="00391416"/>
    <w:rsid w:val="004356AB"/>
    <w:rsid w:val="00443AF5"/>
    <w:rsid w:val="00446ED1"/>
    <w:rsid w:val="00475A21"/>
    <w:rsid w:val="0048087F"/>
    <w:rsid w:val="004A1F54"/>
    <w:rsid w:val="005034CC"/>
    <w:rsid w:val="00534119"/>
    <w:rsid w:val="00570362"/>
    <w:rsid w:val="00585638"/>
    <w:rsid w:val="005B7C82"/>
    <w:rsid w:val="005B7DF8"/>
    <w:rsid w:val="0061307C"/>
    <w:rsid w:val="006204AD"/>
    <w:rsid w:val="006A655F"/>
    <w:rsid w:val="006F53CF"/>
    <w:rsid w:val="00715C87"/>
    <w:rsid w:val="00717B8B"/>
    <w:rsid w:val="00757D45"/>
    <w:rsid w:val="00797E90"/>
    <w:rsid w:val="007B4BA3"/>
    <w:rsid w:val="00837443"/>
    <w:rsid w:val="00883DA1"/>
    <w:rsid w:val="008B59F5"/>
    <w:rsid w:val="00917420"/>
    <w:rsid w:val="0094371C"/>
    <w:rsid w:val="00964C8F"/>
    <w:rsid w:val="00991026"/>
    <w:rsid w:val="00AA1883"/>
    <w:rsid w:val="00AC502B"/>
    <w:rsid w:val="00B01CE7"/>
    <w:rsid w:val="00B52239"/>
    <w:rsid w:val="00B65438"/>
    <w:rsid w:val="00B748E8"/>
    <w:rsid w:val="00BE1539"/>
    <w:rsid w:val="00BF5AD4"/>
    <w:rsid w:val="00C0700C"/>
    <w:rsid w:val="00C26CF8"/>
    <w:rsid w:val="00C96D30"/>
    <w:rsid w:val="00CF35E5"/>
    <w:rsid w:val="00D72C73"/>
    <w:rsid w:val="00DD2279"/>
    <w:rsid w:val="00DD5BC7"/>
    <w:rsid w:val="00DF2E24"/>
    <w:rsid w:val="00E01290"/>
    <w:rsid w:val="00E0512B"/>
    <w:rsid w:val="00E14340"/>
    <w:rsid w:val="00E63C3E"/>
    <w:rsid w:val="00F17872"/>
    <w:rsid w:val="00F477F6"/>
    <w:rsid w:val="00F647F8"/>
    <w:rsid w:val="00F77801"/>
    <w:rsid w:val="02807F21"/>
    <w:rsid w:val="0503687A"/>
    <w:rsid w:val="06183726"/>
    <w:rsid w:val="0CC978E4"/>
    <w:rsid w:val="2BD7314F"/>
    <w:rsid w:val="2C921599"/>
    <w:rsid w:val="32244B1B"/>
    <w:rsid w:val="3238201C"/>
    <w:rsid w:val="35AA0761"/>
    <w:rsid w:val="382A5DB3"/>
    <w:rsid w:val="39FF67FE"/>
    <w:rsid w:val="3BA1C1AF"/>
    <w:rsid w:val="444C6B0A"/>
    <w:rsid w:val="45127143"/>
    <w:rsid w:val="45834535"/>
    <w:rsid w:val="4D8B3002"/>
    <w:rsid w:val="4DC41431"/>
    <w:rsid w:val="4FF37AB3"/>
    <w:rsid w:val="523900AE"/>
    <w:rsid w:val="53B25CC1"/>
    <w:rsid w:val="5F424D2A"/>
    <w:rsid w:val="680323B9"/>
    <w:rsid w:val="6B1C1B92"/>
    <w:rsid w:val="6F7517D0"/>
    <w:rsid w:val="71FB5195"/>
    <w:rsid w:val="72F1E5B6"/>
    <w:rsid w:val="757D5C1C"/>
    <w:rsid w:val="7773C226"/>
    <w:rsid w:val="7A4009A1"/>
    <w:rsid w:val="7ACD0E34"/>
    <w:rsid w:val="7B3FD54F"/>
    <w:rsid w:val="7C6FB829"/>
    <w:rsid w:val="7DB6BDD9"/>
    <w:rsid w:val="7DD343DD"/>
    <w:rsid w:val="7DF7A0A7"/>
    <w:rsid w:val="7EFEA8E8"/>
    <w:rsid w:val="7FB36E33"/>
    <w:rsid w:val="7FFF2E2E"/>
    <w:rsid w:val="96FF0191"/>
    <w:rsid w:val="B67D9DED"/>
    <w:rsid w:val="BB7A7D2E"/>
    <w:rsid w:val="BF6BE21B"/>
    <w:rsid w:val="C59F9920"/>
    <w:rsid w:val="CFFBC421"/>
    <w:rsid w:val="DFFFEC0C"/>
    <w:rsid w:val="E7F39200"/>
    <w:rsid w:val="EF7B66AC"/>
    <w:rsid w:val="EFAE1B58"/>
    <w:rsid w:val="EFFE3D7F"/>
    <w:rsid w:val="F2FFB467"/>
    <w:rsid w:val="F4F29AB4"/>
    <w:rsid w:val="F6FE5DD2"/>
    <w:rsid w:val="F8F7BE34"/>
    <w:rsid w:val="FE79528B"/>
    <w:rsid w:val="FEFF9C44"/>
    <w:rsid w:val="FF5E0606"/>
    <w:rsid w:val="FFBF0A42"/>
    <w:rsid w:val="FFF6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link w:val="15"/>
    <w:qFormat/>
    <w:uiPriority w:val="0"/>
    <w:rPr>
      <w:rFonts w:ascii="Times New Roman" w:hAnsi="Times New Roman" w:eastAsia="文星仿宋"/>
      <w:sz w:val="32"/>
    </w:rPr>
  </w:style>
  <w:style w:type="paragraph" w:styleId="4">
    <w:name w:val="Balloon Text"/>
    <w:basedOn w:val="1"/>
    <w:semiHidden/>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character" w:styleId="10">
    <w:name w:val="FollowedHyperlink"/>
    <w:qFormat/>
    <w:uiPriority w:val="0"/>
    <w:rPr>
      <w:color w:val="800080"/>
      <w:u w:val="none"/>
    </w:rPr>
  </w:style>
  <w:style w:type="character" w:styleId="11">
    <w:name w:val="Hyperlink"/>
    <w:qFormat/>
    <w:uiPriority w:val="0"/>
    <w:rPr>
      <w:color w:val="0000FF"/>
      <w:u w:val="none"/>
    </w:rPr>
  </w:style>
  <w:style w:type="character" w:styleId="12">
    <w:name w:val="annotation reference"/>
    <w:semiHidden/>
    <w:qFormat/>
    <w:uiPriority w:val="0"/>
    <w:rPr>
      <w:sz w:val="21"/>
      <w:szCs w:val="21"/>
    </w:rPr>
  </w:style>
  <w:style w:type="character" w:customStyle="1" w:styleId="13">
    <w:name w:val="页眉 Char"/>
    <w:link w:val="6"/>
    <w:qFormat/>
    <w:uiPriority w:val="0"/>
    <w:rPr>
      <w:rFonts w:ascii="Calibri" w:hAnsi="Calibri"/>
      <w:kern w:val="2"/>
      <w:sz w:val="18"/>
      <w:szCs w:val="18"/>
    </w:rPr>
  </w:style>
  <w:style w:type="character" w:customStyle="1" w:styleId="14">
    <w:name w:val="页脚 Char"/>
    <w:link w:val="5"/>
    <w:qFormat/>
    <w:uiPriority w:val="0"/>
    <w:rPr>
      <w:rFonts w:ascii="Calibri" w:hAnsi="Calibri"/>
      <w:kern w:val="2"/>
      <w:sz w:val="18"/>
      <w:szCs w:val="18"/>
    </w:rPr>
  </w:style>
  <w:style w:type="character" w:customStyle="1" w:styleId="15">
    <w:name w:val="正文文本 Char"/>
    <w:link w:val="3"/>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1751</Words>
  <Characters>1758</Characters>
  <Lines>13</Lines>
  <Paragraphs>3</Paragraphs>
  <TotalTime>0</TotalTime>
  <ScaleCrop>false</ScaleCrop>
  <LinksUpToDate>false</LinksUpToDate>
  <CharactersWithSpaces>1771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2021-01-18T01:40:00Z</dcterms:created>
  <dc:creator>Administrator.WIN10-20171231M</dc:creator>
  <cp:lastModifiedBy>Administrator</cp:lastModifiedBy>
  <cp:lastPrinted>2021-07-09T18:01:00Z</cp:lastPrinted>
  <dcterms:modified xsi:type="dcterms:W3CDTF">2024-12-03T03:01:44Z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49E6B58D44DA422F94489EAEEBE24E10</vt:lpwstr>
  </property>
</Properties>
</file>