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rPr>
        <w:t>市民政局 市发展改革委 市公安局 市司法局 市人社局 市卫生健康委关于改进和规范基层群众性自治组织出具证明工作的实施意见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rFonts w:ascii="Arial" w:hAnsi="Arial" w:cs="Arial"/>
          <w:sz w:val="28"/>
          <w:szCs w:val="28"/>
        </w:rPr>
        <w:t>各区人民政府，市政府各委办局、各直属机构：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rFonts w:hint="default" w:ascii="Arial" w:hAnsi="Arial" w:cs="Arial"/>
          <w:sz w:val="28"/>
          <w:szCs w:val="28"/>
        </w:rPr>
        <w:t>为贯彻落实《民政部 国家发展改革委 公安部 司法部 人力资源社会保障部 国家卫生健康委关于改进和规范基层群众性自治组织出具证明工作的指导意见》（民发〔2020〕20号，以下简称《指导意见》）精神，按照市委、市政府关于实行“战区制、主官上、权下放”推进党建引领基层治理体制机制创新决策部署，经商市委组织部、市高级人民法院、市人民检察院、中国人民银行天津分行、天津银保监局、天津证监局、市税务局、市邮政局、市残联和各区人民政府、市人民政府有关组成部门及直属机构，并经市人民政府同意，现就改进和规范基层群众性自治组织（社区居民委员会、村民委员会）出具证明工作提出如下实施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rFonts w:hint="default" w:ascii="Arial" w:hAnsi="Arial" w:cs="Arial"/>
          <w:sz w:val="28"/>
          <w:szCs w:val="28"/>
        </w:rPr>
        <w:t>一、总体要求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rFonts w:hint="default" w:ascii="Arial" w:hAnsi="Arial" w:cs="Arial"/>
          <w:sz w:val="28"/>
          <w:szCs w:val="28"/>
        </w:rPr>
        <w:t>以习近平新时代中国特色社会主义思想为指导，牢固树立和践行以人民为中心的发展思想，认真贯彻落实市委、市政府关于减证便民、优化服务的有关要求，坚持服务居民、群众自治、依法治理、源头治理、综合施策的原则，改进和规范基层群众性自治组织出具证明工作，为居民群众提供规范、高效、便捷的服务，健全充满活力的基层群众自治制度，促进居民群众依法自我管理、自我教育、自我服务。从2020年起，利用3年左右时间逐步建立起基层群众性自治组织出具证明工作的规范化制度体系和长效机制，从根本上改变“社区万能章”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rFonts w:hint="default" w:ascii="Arial" w:hAnsi="Arial" w:cs="Arial"/>
          <w:sz w:val="28"/>
          <w:szCs w:val="28"/>
        </w:rPr>
        <w:t>二、主要任务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rFonts w:hint="default" w:ascii="Arial" w:hAnsi="Arial" w:cs="Arial"/>
          <w:sz w:val="28"/>
          <w:szCs w:val="28"/>
        </w:rPr>
        <w:t>（一）依法确定基层群众性自治组织出具证明事项。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rFonts w:hint="default" w:ascii="Arial" w:hAnsi="Arial" w:cs="Arial"/>
          <w:sz w:val="28"/>
          <w:szCs w:val="28"/>
        </w:rPr>
        <w:t>1.制定基层群众性自治组织出具证明事项清单。社区居民委员会、村民委员会是居民群众自我管理、自我教育、自我服务的基层群众性自治组织，可以依法出具有关证明。基层群众性自治组织出具的证明事项，必须有明确的法律法规依据或经国务院批准列入保留证明事项清单，且属于基层群众性自治组织职责范围的事项。凡是相关部门要求基层群众性自治组织出具证明事项的，应同时提供出具证明事项的有关依据。涉及城乡社区公共利益或本辖区多数居民群众切身利益的事项需出具证明，基层群众性自治组织应通过组织居民群众议事协商等方式，经居民群众讨论同意并经基层群众性自治组织负责人签字后方可出具。根据法律法规规定，在我市基层群众性自治组织证明事项清理工作已有政策措施的基础上，制定《天津市基层群众性自治组织出具证明事项清单》（附件1），对未列入清单内的，有关部门和单位不得要求办事群众提供基层群众性自治组织证明。涉及党组织或党员的相关证明，由社区（村）党组织根据有关规定和要求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rFonts w:hint="default" w:ascii="Arial" w:hAnsi="Arial" w:cs="Arial"/>
          <w:sz w:val="28"/>
          <w:szCs w:val="28"/>
        </w:rPr>
        <w:t>2.明确基层群众性自治组织出具证明相关规范。细化实化基层群众性自治组织出具证明事项的具体式样、办理流程和操作规范，明确办理用途及法律法规依据，制定并提供规范统一的表单样本。出具证明的相关规定和清单要在政府门户网站、政务服务平台、服务场所、政务微博、微信公众平台等公布，方便群众获取、查询和办理。精简基层群众性自治组织出具证明的程序，减少办理环节，压缩办理时间，大力推行简单证明当场办结；需要调查核实的，应及时完成核实工作，据实出具、限时办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rFonts w:hint="default" w:ascii="Arial" w:hAnsi="Arial" w:cs="Arial"/>
          <w:sz w:val="28"/>
          <w:szCs w:val="28"/>
        </w:rPr>
        <w:t>（二）明确不应由基层群众性自治组织出具证明事项。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rFonts w:hint="default" w:ascii="Arial" w:hAnsi="Arial" w:cs="Arial"/>
          <w:sz w:val="28"/>
          <w:szCs w:val="28"/>
        </w:rPr>
        <w:t>凡是没有法律法规依据或未经国务院批准列入保留证明事项清单的证明事项，基层群众性自治组织不予出具。根据国家有关法律法规和《指导意见》规定，结合我市实际情况，明确《天津市不应由基层群众性自治组织出具证明事项清单（第一批）》（附件2）。对不应由基层群众性自治组织出具的证明事项，现阶段如因政策衔接不到位或各类民事主体明确要求，居民群众仍需办理的，基层群众性自治组织应本着便民利民的原则，对于属于自身职责范围、且能够核实的，据实为居民群众出具证明。对于出具相关证明可能涉及法律风险的，基层群众性自治组织可在详细调查核实情况、组织居民群众议事协商的基础上，予以充分评估并预先防范后出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rFonts w:hint="default" w:ascii="Arial" w:hAnsi="Arial" w:cs="Arial"/>
          <w:sz w:val="28"/>
          <w:szCs w:val="28"/>
        </w:rPr>
        <w:t>三、工作要求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rFonts w:hint="default" w:ascii="Arial" w:hAnsi="Arial" w:cs="Arial"/>
          <w:sz w:val="28"/>
          <w:szCs w:val="28"/>
        </w:rPr>
        <w:t>（一）强化组织领导。改进和规范基层群众性自治组织出具证明工作关系居民群众的切身利益，要建立区人民政府统一领导，民政部门牵头协调，发展改革、公安、司法行政、人力资源和社会保障、卫生健康等各有关部门共同参与的机制，共同抓好落实。各区、各有关部门要在深入摸排的基础上，开展“社区万能章”治理专项行动，抓好具体组织实施；要加强舆论宣传，加大督促落实力度，形成长效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rFonts w:hint="default" w:ascii="Arial" w:hAnsi="Arial" w:cs="Arial"/>
          <w:sz w:val="28"/>
          <w:szCs w:val="28"/>
        </w:rPr>
        <w:t>（二）做好政策衔接。各区、各有关部门要按照于法有据和“谁主管、谁负责”的原则，对各自提供为民服务的事项和办事环节进行全面梳理，对自行设定的没有法律法规依据或未经国务院批准列入保留证明事项清单的基层群众性自治组织出具的证明事项一律取消。对基层群众性自治组织应当或者可以出具证明、不应出具证明以及应当由相关部门出具证明的事项，要做好政策措施衔接，列明办事指南，做好解释说明，避免出现管理服务“真空”，最大程度确保居民群众办事创业方便。</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rFonts w:hint="default" w:ascii="Arial" w:hAnsi="Arial" w:cs="Arial"/>
          <w:sz w:val="28"/>
          <w:szCs w:val="28"/>
        </w:rPr>
        <w:t>（三）建立公开曝光机制。市、区民政部门会同有关部门建立公开曝光和强制纠正机制。凡是政府部门、公用事业单位和服务机构擅自要求居民群众找基层群众性自治组织开具不合理证明导致居民群众办事创业困难的，要予以通报或在媒体平台上公开曝光，要求开具证明单位的上级主管部门应及时予以纠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rFonts w:hint="default" w:ascii="Arial" w:hAnsi="Arial" w:cs="Arial"/>
          <w:sz w:val="28"/>
          <w:szCs w:val="28"/>
        </w:rPr>
        <w:t>（四）加强信息共享。各区、各有关部门要按照国务院和市委、市政府关于推进“互联网+政务服务”工作部署，依托全国一体化在线政务服务平台建设，推进部门间信息共享核查，按照法定程序办理查询核查业务，让信息多跑路，居民群众少跑腿。</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rFonts w:hint="default" w:ascii="Arial" w:hAnsi="Arial" w:cs="Arial"/>
          <w:sz w:val="28"/>
          <w:szCs w:val="28"/>
        </w:rPr>
        <w:t>（五）加强社会信用体系建设。各区、各有关部门要加强社会信用体系建设，推行证明事项告知承诺制，强化对承诺事项的事后核查，对虚假承诺的，依法计入个人信用记录、纳入市信用信息共享平台、在“信用中国（天津）”网站依法依规进行公示，情节严重的依法予以处罚并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rFonts w:hint="default" w:ascii="Arial" w:hAnsi="Arial" w:cs="Arial"/>
          <w:sz w:val="28"/>
          <w:szCs w:val="28"/>
        </w:rPr>
        <w:t>原有文件中关于基层群众性自治组织出具或不应出具证明事项与本实施意见不一致的，以本实施意见为准。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rFonts w:hint="default" w:ascii="Arial" w:hAnsi="Arial" w:cs="Arial"/>
          <w:sz w:val="28"/>
          <w:szCs w:val="28"/>
        </w:rPr>
        <w:t>各区、各有关部门落实本实施意见情况及遇到的问题，请及时报送市民政局。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rFonts w:hint="default" w:ascii="Arial" w:hAnsi="Arial" w:cs="Arial"/>
          <w:sz w:val="28"/>
          <w:szCs w:val="28"/>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color w:val="0066CC"/>
          <w:sz w:val="28"/>
          <w:szCs w:val="28"/>
          <w:u w:val="single"/>
        </w:rPr>
        <w:fldChar w:fldCharType="begin"/>
      </w:r>
      <w:r>
        <w:rPr>
          <w:color w:val="0066CC"/>
          <w:sz w:val="28"/>
          <w:szCs w:val="28"/>
          <w:u w:val="single"/>
        </w:rPr>
        <w:instrText xml:space="preserve"> HYPERLINK "https://mz.tj.gov.cn/ZWGK5878/ZCFG9602/zcwj/202012/P020201222630191087306.doc" \o "1.天津市基层群众性自治组织出具证明事项清单（2020年版）" </w:instrText>
      </w:r>
      <w:r>
        <w:rPr>
          <w:color w:val="0066CC"/>
          <w:sz w:val="28"/>
          <w:szCs w:val="28"/>
          <w:u w:val="single"/>
        </w:rPr>
        <w:fldChar w:fldCharType="separate"/>
      </w:r>
      <w:r>
        <w:rPr>
          <w:rStyle w:val="8"/>
          <w:color w:val="0066CC"/>
          <w:sz w:val="28"/>
          <w:szCs w:val="28"/>
          <w:u w:val="single"/>
        </w:rPr>
        <w:t>1.天津市基层群众性自治组织出具证明事项清单（2020年版）</w:t>
      </w:r>
      <w:r>
        <w:rPr>
          <w:color w:val="0066CC"/>
          <w:sz w:val="28"/>
          <w:szCs w:val="28"/>
          <w:u w:val="single"/>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color w:val="0066CC"/>
          <w:sz w:val="28"/>
          <w:szCs w:val="28"/>
          <w:u w:val="single"/>
        </w:rPr>
        <w:fldChar w:fldCharType="begin"/>
      </w:r>
      <w:r>
        <w:rPr>
          <w:color w:val="0066CC"/>
          <w:sz w:val="28"/>
          <w:szCs w:val="28"/>
          <w:u w:val="single"/>
        </w:rPr>
        <w:instrText xml:space="preserve"> HYPERLINK "https://mz.tj.gov.cn/ZWGK5878/ZCFG9602/zcwj/202012/P020201222630191140722.doc" \o "附件2.doc" </w:instrText>
      </w:r>
      <w:r>
        <w:rPr>
          <w:color w:val="0066CC"/>
          <w:sz w:val="28"/>
          <w:szCs w:val="28"/>
          <w:u w:val="single"/>
        </w:rPr>
        <w:fldChar w:fldCharType="separate"/>
      </w:r>
      <w:r>
        <w:rPr>
          <w:rStyle w:val="8"/>
          <w:color w:val="0066CC"/>
          <w:sz w:val="28"/>
          <w:szCs w:val="28"/>
          <w:u w:val="single"/>
        </w:rPr>
        <w:t>2.天津市不应由基层群众性自治组织出具证明事项清单（第一批）</w:t>
      </w:r>
      <w:r>
        <w:rPr>
          <w:color w:val="0066CC"/>
          <w:sz w:val="28"/>
          <w:szCs w:val="28"/>
          <w:u w:val="single"/>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color w:val="0066CC"/>
          <w:sz w:val="28"/>
          <w:szCs w:val="28"/>
          <w:u w:val="single"/>
        </w:rPr>
        <w:fldChar w:fldCharType="begin"/>
      </w:r>
      <w:r>
        <w:rPr>
          <w:color w:val="0066CC"/>
          <w:sz w:val="28"/>
          <w:szCs w:val="28"/>
          <w:u w:val="single"/>
        </w:rPr>
        <w:instrText xml:space="preserve"> HYPERLINK "https://mz.tj.gov.cn/ZWGK5878/ZCFG9602/zcwj/202012/P020201222630191183792.doc" \o "附件3.doc" </w:instrText>
      </w:r>
      <w:r>
        <w:rPr>
          <w:color w:val="0066CC"/>
          <w:sz w:val="28"/>
          <w:szCs w:val="28"/>
          <w:u w:val="single"/>
        </w:rPr>
        <w:fldChar w:fldCharType="separate"/>
      </w:r>
      <w:r>
        <w:rPr>
          <w:rStyle w:val="8"/>
          <w:color w:val="0066CC"/>
          <w:sz w:val="28"/>
          <w:szCs w:val="28"/>
          <w:u w:val="single"/>
        </w:rPr>
        <w:t>3.天津市基层群众性自治组织证明（式样）</w:t>
      </w:r>
      <w:r>
        <w:rPr>
          <w:color w:val="0066CC"/>
          <w:sz w:val="28"/>
          <w:szCs w:val="28"/>
          <w:u w:val="single"/>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0"/>
        <w:jc w:val="both"/>
        <w:rPr>
          <w:sz w:val="28"/>
          <w:szCs w:val="28"/>
        </w:rPr>
      </w:pPr>
      <w:r>
        <w:rPr>
          <w:rFonts w:hint="default" w:ascii="Arial" w:hAnsi="Arial" w:cs="Arial"/>
          <w:sz w:val="28"/>
          <w:szCs w:val="28"/>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rFonts w:hint="default" w:ascii="Arial" w:hAnsi="Arial" w:cs="Arial"/>
          <w:sz w:val="28"/>
          <w:szCs w:val="28"/>
        </w:rPr>
        <w:t>市民政局          市发展改革委         市公安局  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rFonts w:hint="default" w:ascii="Arial" w:hAnsi="Arial" w:cs="Arial"/>
          <w:sz w:val="28"/>
          <w:szCs w:val="28"/>
        </w:rPr>
        <w:t>  市司法局            市人社局          市卫生健康委</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rFonts w:hint="default" w:ascii="Arial" w:hAnsi="Arial" w:cs="Arial"/>
          <w:sz w:val="28"/>
          <w:szCs w:val="28"/>
        </w:rPr>
        <w:t>                            2020年10月26日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420"/>
        <w:jc w:val="both"/>
        <w:rPr>
          <w:sz w:val="28"/>
          <w:szCs w:val="28"/>
        </w:rPr>
      </w:pPr>
      <w:r>
        <w:rPr>
          <w:rFonts w:hint="default" w:ascii="Arial" w:hAnsi="Arial" w:cs="Arial"/>
          <w:sz w:val="28"/>
          <w:szCs w:val="28"/>
        </w:rPr>
        <w:t>（此件主动公开）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28"/>
          <w:szCs w:val="28"/>
        </w:rPr>
      </w:pPr>
    </w:p>
    <w:p>
      <w:pPr>
        <w:jc w:val="both"/>
        <w:rPr>
          <w:rFonts w:hint="eastAsia"/>
          <w:sz w:val="28"/>
          <w:szCs w:val="28"/>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bidi w:val="0"/>
        <w:jc w:val="left"/>
        <w:rPr>
          <w:rFonts w:hint="eastAsia"/>
          <w:lang w:val="en-US" w:eastAsia="zh-CN"/>
        </w:rPr>
      </w:pPr>
    </w:p>
    <w:p>
      <w:pPr>
        <w:rPr>
          <w:rFonts w:hint="eastAsia" w:ascii="黑体" w:hAnsi="黑体" w:eastAsia="黑体"/>
        </w:rPr>
      </w:pPr>
      <w:r>
        <w:rPr>
          <w:rFonts w:hint="eastAsia" w:ascii="黑体" w:hAnsi="黑体" w:eastAsia="黑体"/>
        </w:rPr>
        <w:t>附</w:t>
      </w:r>
      <w:r>
        <w:rPr>
          <w:rFonts w:hint="eastAsia" w:ascii="黑体" w:hAnsi="黑体" w:eastAsia="黑体"/>
          <w:lang w:eastAsia="zh-CN"/>
        </w:rPr>
        <w:t>件</w:t>
      </w:r>
      <w:r>
        <w:rPr>
          <w:rFonts w:hint="eastAsia" w:ascii="黑体" w:hAnsi="黑体" w:eastAsia="黑体"/>
        </w:rPr>
        <w:t>1</w:t>
      </w:r>
    </w:p>
    <w:p>
      <w:pPr>
        <w:spacing w:line="580" w:lineRule="exact"/>
        <w:jc w:val="center"/>
        <w:rPr>
          <w:rFonts w:eastAsia="方正小标宋简体"/>
          <w:color w:val="000000"/>
          <w:sz w:val="44"/>
        </w:rPr>
      </w:pPr>
      <w:r>
        <w:rPr>
          <w:rFonts w:hint="eastAsia" w:eastAsia="方正小标宋简体"/>
          <w:color w:val="000000"/>
          <w:sz w:val="44"/>
        </w:rPr>
        <w:t>天津市基层群众性自治组织</w:t>
      </w:r>
      <w:r>
        <w:rPr>
          <w:rFonts w:eastAsia="方正小标宋简体"/>
          <w:color w:val="000000"/>
          <w:sz w:val="44"/>
        </w:rPr>
        <w:t>出具证明事项清单（2020年版）</w:t>
      </w:r>
    </w:p>
    <w:tbl>
      <w:tblPr>
        <w:tblStyle w:val="5"/>
        <w:tblW w:w="0" w:type="auto"/>
        <w:tblInd w:w="-2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0"/>
        <w:gridCol w:w="2196"/>
        <w:gridCol w:w="1936"/>
        <w:gridCol w:w="5687"/>
        <w:gridCol w:w="3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790" w:type="dxa"/>
            <w:tcBorders>
              <w:top w:val="single" w:color="000000" w:sz="4" w:space="0"/>
              <w:left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黑体"/>
                <w:color w:val="000000"/>
                <w:sz w:val="24"/>
                <w:shd w:val="clear" w:color="auto" w:fill="FFFFFF"/>
              </w:rPr>
            </w:pPr>
            <w:r>
              <w:rPr>
                <w:rFonts w:eastAsia="黑体"/>
                <w:color w:val="000000"/>
                <w:sz w:val="24"/>
                <w:shd w:val="clear" w:color="auto" w:fill="FFFFFF"/>
              </w:rPr>
              <w:t>序号</w:t>
            </w:r>
          </w:p>
        </w:tc>
        <w:tc>
          <w:tcPr>
            <w:tcW w:w="2196" w:type="dxa"/>
            <w:tcBorders>
              <w:top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黑体"/>
                <w:color w:val="000000"/>
                <w:sz w:val="24"/>
                <w:shd w:val="clear" w:color="auto" w:fill="FFFFFF"/>
              </w:rPr>
            </w:pPr>
            <w:r>
              <w:rPr>
                <w:rFonts w:eastAsia="黑体"/>
                <w:color w:val="000000"/>
                <w:sz w:val="24"/>
                <w:shd w:val="clear" w:color="auto" w:fill="FFFFFF"/>
              </w:rPr>
              <w:t>证明事项</w:t>
            </w:r>
          </w:p>
        </w:tc>
        <w:tc>
          <w:tcPr>
            <w:tcW w:w="1936" w:type="dxa"/>
            <w:tcBorders>
              <w:top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黑体"/>
                <w:color w:val="000000"/>
                <w:sz w:val="24"/>
                <w:shd w:val="clear" w:color="auto" w:fill="FFFFFF"/>
              </w:rPr>
            </w:pPr>
            <w:r>
              <w:rPr>
                <w:rFonts w:hint="eastAsia" w:eastAsia="黑体"/>
                <w:color w:val="000000"/>
                <w:sz w:val="24"/>
                <w:shd w:val="clear" w:color="auto" w:fill="FFFFFF"/>
              </w:rPr>
              <w:t>需要证明的</w:t>
            </w:r>
            <w:r>
              <w:rPr>
                <w:rFonts w:eastAsia="黑体"/>
                <w:color w:val="000000"/>
                <w:sz w:val="24"/>
                <w:shd w:val="clear" w:color="auto" w:fill="FFFFFF"/>
              </w:rPr>
              <w:t>部门</w:t>
            </w:r>
          </w:p>
        </w:tc>
        <w:tc>
          <w:tcPr>
            <w:tcW w:w="5687" w:type="dxa"/>
            <w:tcBorders>
              <w:top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黑体"/>
                <w:color w:val="000000"/>
                <w:sz w:val="24"/>
                <w:shd w:val="clear" w:color="auto" w:fill="FFFFFF"/>
              </w:rPr>
            </w:pPr>
            <w:r>
              <w:rPr>
                <w:rFonts w:eastAsia="黑体"/>
                <w:color w:val="000000"/>
                <w:sz w:val="24"/>
                <w:shd w:val="clear" w:color="auto" w:fill="FFFFFF"/>
              </w:rPr>
              <w:t>证明用途</w:t>
            </w:r>
          </w:p>
        </w:tc>
        <w:tc>
          <w:tcPr>
            <w:tcW w:w="3191" w:type="dxa"/>
            <w:tcBorders>
              <w:top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eastAsia="黑体"/>
                <w:color w:val="000000"/>
                <w:sz w:val="24"/>
                <w:shd w:val="clear" w:color="auto" w:fill="FFFFFF"/>
              </w:rPr>
            </w:pPr>
            <w:r>
              <w:rPr>
                <w:rFonts w:eastAsia="黑体"/>
                <w:color w:val="000000"/>
                <w:sz w:val="24"/>
                <w:shd w:val="clear" w:color="auto" w:fill="FFFFFF"/>
              </w:rPr>
              <w:t>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7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color w:val="000000"/>
                <w:sz w:val="24"/>
                <w:shd w:val="clear" w:color="auto" w:fill="FFFFFF"/>
              </w:rPr>
            </w:pPr>
            <w:r>
              <w:rPr>
                <w:color w:val="000000"/>
                <w:sz w:val="24"/>
                <w:shd w:val="clear" w:color="auto" w:fill="FFFFFF"/>
              </w:rPr>
              <w:t>1</w:t>
            </w:r>
          </w:p>
        </w:tc>
        <w:tc>
          <w:tcPr>
            <w:tcW w:w="21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color w:val="000000"/>
                <w:sz w:val="24"/>
              </w:rPr>
            </w:pPr>
            <w:r>
              <w:rPr>
                <w:rFonts w:hint="eastAsia"/>
                <w:color w:val="000000"/>
                <w:sz w:val="24"/>
              </w:rPr>
              <w:t>委托办理</w:t>
            </w:r>
          </w:p>
          <w:p>
            <w:pPr>
              <w:shd w:val="solid" w:color="FFFFFF" w:fill="auto"/>
              <w:autoSpaceDN w:val="0"/>
              <w:jc w:val="center"/>
              <w:textAlignment w:val="center"/>
              <w:rPr>
                <w:color w:val="000000"/>
                <w:sz w:val="24"/>
              </w:rPr>
            </w:pPr>
            <w:r>
              <w:rPr>
                <w:color w:val="000000"/>
                <w:sz w:val="24"/>
              </w:rPr>
              <w:t>收养登记</w:t>
            </w:r>
            <w:r>
              <w:rPr>
                <w:rFonts w:hint="eastAsia"/>
                <w:color w:val="000000"/>
                <w:sz w:val="24"/>
              </w:rPr>
              <w:t>证明</w:t>
            </w:r>
          </w:p>
        </w:tc>
        <w:tc>
          <w:tcPr>
            <w:tcW w:w="19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color w:val="000000"/>
                <w:sz w:val="24"/>
              </w:rPr>
            </w:pPr>
            <w:r>
              <w:rPr>
                <w:color w:val="000000"/>
                <w:sz w:val="24"/>
              </w:rPr>
              <w:t>民政部门</w:t>
            </w:r>
          </w:p>
        </w:tc>
        <w:tc>
          <w:tcPr>
            <w:tcW w:w="56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240" w:lineRule="exact"/>
              <w:jc w:val="left"/>
              <w:textAlignment w:val="center"/>
              <w:rPr>
                <w:color w:val="000000"/>
                <w:sz w:val="24"/>
              </w:rPr>
            </w:pPr>
            <w:r>
              <w:rPr>
                <w:color w:val="000000"/>
                <w:sz w:val="24"/>
              </w:rPr>
              <w:t>夫妻共同收养子女的，一方因故不能亲自前往的，应当书面委托另一方办理登记手续，委托书应当经过村民委员会或者居民委员会证明</w:t>
            </w:r>
          </w:p>
        </w:tc>
        <w:tc>
          <w:tcPr>
            <w:tcW w:w="31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240" w:lineRule="exact"/>
              <w:jc w:val="left"/>
              <w:textAlignment w:val="center"/>
              <w:rPr>
                <w:color w:val="000000"/>
                <w:sz w:val="24"/>
              </w:rPr>
            </w:pPr>
            <w:r>
              <w:rPr>
                <w:color w:val="000000"/>
                <w:sz w:val="24"/>
              </w:rPr>
              <w:t>《中国公民收养子女登记办法》</w:t>
            </w:r>
            <w:r>
              <w:rPr>
                <w:rFonts w:hint="eastAsia"/>
                <w:color w:val="000000"/>
                <w:sz w:val="24"/>
              </w:rPr>
              <w:t>第四条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color w:val="000000"/>
                <w:sz w:val="24"/>
                <w:shd w:val="clear" w:color="auto" w:fill="FFFFFF"/>
              </w:rPr>
            </w:pPr>
            <w:r>
              <w:rPr>
                <w:color w:val="000000"/>
                <w:sz w:val="24"/>
                <w:shd w:val="clear" w:color="auto" w:fill="FFFFFF"/>
              </w:rPr>
              <w:t>2</w:t>
            </w:r>
          </w:p>
        </w:tc>
        <w:tc>
          <w:tcPr>
            <w:tcW w:w="21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color w:val="000000"/>
                <w:sz w:val="24"/>
              </w:rPr>
            </w:pPr>
            <w:r>
              <w:rPr>
                <w:rFonts w:hint="eastAsia"/>
                <w:color w:val="000000"/>
                <w:sz w:val="24"/>
              </w:rPr>
              <w:t>收养人婚姻状况和抚养教育能力证明</w:t>
            </w:r>
          </w:p>
        </w:tc>
        <w:tc>
          <w:tcPr>
            <w:tcW w:w="19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color w:val="000000"/>
                <w:sz w:val="24"/>
              </w:rPr>
            </w:pPr>
            <w:r>
              <w:rPr>
                <w:color w:val="000000"/>
                <w:sz w:val="24"/>
              </w:rPr>
              <w:t>民政部门</w:t>
            </w:r>
          </w:p>
        </w:tc>
        <w:tc>
          <w:tcPr>
            <w:tcW w:w="56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240" w:lineRule="exact"/>
              <w:jc w:val="left"/>
              <w:textAlignment w:val="center"/>
              <w:rPr>
                <w:color w:val="000000"/>
                <w:sz w:val="24"/>
              </w:rPr>
            </w:pPr>
            <w:r>
              <w:rPr>
                <w:color w:val="000000"/>
                <w:sz w:val="24"/>
              </w:rPr>
              <w:t>为收养人出具的本人婚姻状况和抚养教育被收养人的能力等情况</w:t>
            </w:r>
          </w:p>
        </w:tc>
        <w:tc>
          <w:tcPr>
            <w:tcW w:w="31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240" w:lineRule="exact"/>
              <w:jc w:val="left"/>
              <w:textAlignment w:val="center"/>
              <w:rPr>
                <w:color w:val="000000"/>
                <w:sz w:val="24"/>
              </w:rPr>
            </w:pPr>
            <w:r>
              <w:rPr>
                <w:color w:val="000000"/>
                <w:sz w:val="24"/>
              </w:rPr>
              <w:t>《中国公民收养子女登记办法》</w:t>
            </w:r>
            <w:r>
              <w:rPr>
                <w:rFonts w:hint="eastAsia"/>
                <w:color w:val="000000"/>
                <w:sz w:val="24"/>
              </w:rPr>
              <w:t>第五条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3" w:hRule="atLeast"/>
        </w:trPr>
        <w:tc>
          <w:tcPr>
            <w:tcW w:w="790" w:type="dxa"/>
            <w:vMerge w:val="restart"/>
            <w:tcBorders>
              <w:top w:val="single" w:color="000000" w:sz="4" w:space="0"/>
              <w:left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color w:val="000000"/>
                <w:sz w:val="24"/>
                <w:shd w:val="clear" w:color="auto" w:fill="FFFFFF"/>
              </w:rPr>
            </w:pPr>
            <w:r>
              <w:rPr>
                <w:rFonts w:hint="eastAsia"/>
                <w:color w:val="000000"/>
                <w:sz w:val="24"/>
                <w:shd w:val="clear" w:color="auto" w:fill="FFFFFF"/>
              </w:rPr>
              <w:t>3</w:t>
            </w:r>
          </w:p>
        </w:tc>
        <w:tc>
          <w:tcPr>
            <w:tcW w:w="2196" w:type="dxa"/>
            <w:vMerge w:val="restart"/>
            <w:tcBorders>
              <w:top w:val="single" w:color="000000" w:sz="4" w:space="0"/>
              <w:left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color w:val="000000"/>
                <w:sz w:val="24"/>
              </w:rPr>
            </w:pPr>
            <w:r>
              <w:rPr>
                <w:color w:val="000000"/>
                <w:sz w:val="24"/>
              </w:rPr>
              <w:t>监护关系证明</w:t>
            </w:r>
          </w:p>
        </w:tc>
        <w:tc>
          <w:tcPr>
            <w:tcW w:w="19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color w:val="000000"/>
                <w:sz w:val="24"/>
              </w:rPr>
            </w:pPr>
            <w:r>
              <w:rPr>
                <w:rFonts w:hint="eastAsia"/>
                <w:color w:val="000000"/>
                <w:sz w:val="24"/>
              </w:rPr>
              <w:t>人民法院</w:t>
            </w:r>
          </w:p>
        </w:tc>
        <w:tc>
          <w:tcPr>
            <w:tcW w:w="56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240" w:lineRule="exact"/>
              <w:jc w:val="left"/>
              <w:textAlignment w:val="center"/>
              <w:rPr>
                <w:color w:val="000000"/>
                <w:sz w:val="24"/>
              </w:rPr>
            </w:pPr>
            <w:r>
              <w:rPr>
                <w:rFonts w:hint="eastAsia"/>
                <w:color w:val="000000"/>
                <w:sz w:val="24"/>
              </w:rPr>
              <w:t>在诉讼中证明由居民委员会、村民委员会同意其他愿意担任监护人的个人或组织与未成年人及无民事行为能力或限制行为能力的成年人之间的监护关系或由居民委员会、村民委员会指定监护形成的监护关系</w:t>
            </w:r>
          </w:p>
        </w:tc>
        <w:tc>
          <w:tcPr>
            <w:tcW w:w="31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240" w:lineRule="exact"/>
              <w:jc w:val="left"/>
              <w:textAlignment w:val="center"/>
              <w:rPr>
                <w:color w:val="000000"/>
                <w:sz w:val="24"/>
              </w:rPr>
            </w:pPr>
            <w:r>
              <w:rPr>
                <w:rFonts w:hint="eastAsia"/>
                <w:color w:val="000000"/>
                <w:sz w:val="24"/>
              </w:rPr>
              <w:t>《中华人民共和国民法典》第二十八条、三十一条、三十二条，《中华人民共和国民事诉讼法》第五十七条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790" w:type="dxa"/>
            <w:vMerge w:val="continue"/>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color w:val="000000"/>
                <w:sz w:val="24"/>
                <w:shd w:val="clear" w:color="auto" w:fill="FFFFFF"/>
              </w:rPr>
            </w:pPr>
          </w:p>
        </w:tc>
        <w:tc>
          <w:tcPr>
            <w:tcW w:w="2196" w:type="dxa"/>
            <w:vMerge w:val="continue"/>
            <w:tcBorders>
              <w:left w:val="single" w:color="000000" w:sz="4" w:space="0"/>
              <w:bottom w:val="single" w:color="auto" w:sz="4" w:space="0"/>
              <w:right w:val="single" w:color="000000" w:sz="4" w:space="0"/>
            </w:tcBorders>
            <w:shd w:val="solid" w:color="FFFFFF" w:fill="auto"/>
            <w:noWrap w:val="0"/>
            <w:vAlign w:val="center"/>
          </w:tcPr>
          <w:p>
            <w:pPr>
              <w:shd w:val="solid" w:color="FFFFFF" w:fill="auto"/>
              <w:autoSpaceDN w:val="0"/>
              <w:jc w:val="center"/>
              <w:textAlignment w:val="center"/>
              <w:rPr>
                <w:color w:val="000000"/>
                <w:sz w:val="24"/>
              </w:rPr>
            </w:pPr>
          </w:p>
        </w:tc>
        <w:tc>
          <w:tcPr>
            <w:tcW w:w="19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color w:val="000000"/>
                <w:sz w:val="24"/>
              </w:rPr>
            </w:pPr>
            <w:r>
              <w:rPr>
                <w:color w:val="000000"/>
                <w:sz w:val="24"/>
              </w:rPr>
              <w:t>住房建设部门</w:t>
            </w:r>
          </w:p>
          <w:p>
            <w:pPr>
              <w:shd w:val="solid" w:color="FFFFFF" w:fill="auto"/>
              <w:autoSpaceDN w:val="0"/>
              <w:jc w:val="center"/>
              <w:textAlignment w:val="center"/>
              <w:rPr>
                <w:color w:val="000000"/>
                <w:sz w:val="24"/>
              </w:rPr>
            </w:pPr>
            <w:r>
              <w:rPr>
                <w:rFonts w:hint="eastAsia"/>
                <w:color w:val="000000"/>
                <w:sz w:val="24"/>
              </w:rPr>
              <w:t>不动产登记部门</w:t>
            </w:r>
          </w:p>
        </w:tc>
        <w:tc>
          <w:tcPr>
            <w:tcW w:w="56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240" w:lineRule="exact"/>
              <w:jc w:val="left"/>
              <w:textAlignment w:val="center"/>
              <w:rPr>
                <w:color w:val="000000"/>
                <w:sz w:val="24"/>
              </w:rPr>
            </w:pPr>
            <w:r>
              <w:rPr>
                <w:rFonts w:hint="eastAsia"/>
                <w:color w:val="000000"/>
                <w:sz w:val="24"/>
              </w:rPr>
              <w:t>在进行房屋交易、</w:t>
            </w:r>
            <w:r>
              <w:rPr>
                <w:color w:val="000000"/>
                <w:sz w:val="24"/>
              </w:rPr>
              <w:t>申请不动产登记</w:t>
            </w:r>
            <w:r>
              <w:rPr>
                <w:rFonts w:hint="eastAsia"/>
                <w:color w:val="000000"/>
                <w:sz w:val="24"/>
              </w:rPr>
              <w:t>时证明由居民委员会、村民委员会同意其他愿意担任监护人的个人或组织与未成年人及无民事行为能力或限制行为能力的成年人之间的监护关系或由居民委员会、村民委员会指定监护形成的监护关系</w:t>
            </w:r>
          </w:p>
        </w:tc>
        <w:tc>
          <w:tcPr>
            <w:tcW w:w="31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240" w:lineRule="exact"/>
              <w:jc w:val="left"/>
              <w:textAlignment w:val="center"/>
              <w:rPr>
                <w:color w:val="000000"/>
                <w:sz w:val="24"/>
              </w:rPr>
            </w:pPr>
            <w:r>
              <w:rPr>
                <w:rFonts w:hint="eastAsia"/>
                <w:color w:val="000000"/>
                <w:sz w:val="24"/>
              </w:rPr>
              <w:t>《中华人民共和国民法典》第二十八条、三十一条、三十二条，</w:t>
            </w:r>
            <w:r>
              <w:rPr>
                <w:color w:val="000000"/>
                <w:sz w:val="24"/>
              </w:rPr>
              <w:t>《不动产登记暂行条例实施细则》第</w:t>
            </w:r>
            <w:r>
              <w:rPr>
                <w:rFonts w:hint="eastAsia"/>
                <w:color w:val="000000"/>
                <w:sz w:val="24"/>
              </w:rPr>
              <w:t>十一</w:t>
            </w:r>
            <w:r>
              <w:rPr>
                <w:color w:val="000000"/>
                <w:sz w:val="24"/>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790" w:type="dxa"/>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color w:val="000000"/>
                <w:sz w:val="24"/>
                <w:shd w:val="clear" w:color="auto" w:fill="FFFFFF"/>
              </w:rPr>
            </w:pPr>
            <w:r>
              <w:rPr>
                <w:rFonts w:hint="eastAsia"/>
                <w:color w:val="000000"/>
                <w:sz w:val="24"/>
                <w:shd w:val="clear" w:color="auto" w:fill="FFFFFF"/>
              </w:rPr>
              <w:t>4</w:t>
            </w:r>
          </w:p>
        </w:tc>
        <w:tc>
          <w:tcPr>
            <w:tcW w:w="2196" w:type="dxa"/>
            <w:tcBorders>
              <w:left w:val="single" w:color="000000" w:sz="4" w:space="0"/>
              <w:bottom w:val="single" w:color="auto" w:sz="4" w:space="0"/>
              <w:right w:val="single" w:color="000000" w:sz="4" w:space="0"/>
            </w:tcBorders>
            <w:shd w:val="solid" w:color="FFFFFF" w:fill="auto"/>
            <w:noWrap w:val="0"/>
            <w:vAlign w:val="center"/>
          </w:tcPr>
          <w:p>
            <w:pPr>
              <w:autoSpaceDN w:val="0"/>
              <w:jc w:val="center"/>
              <w:textAlignment w:val="center"/>
              <w:rPr>
                <w:rFonts w:hint="eastAsia"/>
                <w:color w:val="000000"/>
                <w:sz w:val="24"/>
              </w:rPr>
            </w:pPr>
            <w:r>
              <w:rPr>
                <w:rFonts w:hint="eastAsia"/>
                <w:color w:val="000000"/>
                <w:sz w:val="24"/>
              </w:rPr>
              <w:t>诉讼代理人</w:t>
            </w:r>
          </w:p>
          <w:p>
            <w:pPr>
              <w:autoSpaceDN w:val="0"/>
              <w:jc w:val="center"/>
              <w:textAlignment w:val="center"/>
              <w:rPr>
                <w:color w:val="000000"/>
                <w:sz w:val="24"/>
              </w:rPr>
            </w:pPr>
            <w:r>
              <w:rPr>
                <w:rFonts w:hint="eastAsia"/>
                <w:color w:val="000000"/>
                <w:sz w:val="24"/>
              </w:rPr>
              <w:t>身份证明</w:t>
            </w:r>
          </w:p>
        </w:tc>
        <w:tc>
          <w:tcPr>
            <w:tcW w:w="19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textAlignment w:val="center"/>
              <w:rPr>
                <w:rFonts w:hint="eastAsia"/>
                <w:color w:val="000000"/>
                <w:sz w:val="24"/>
              </w:rPr>
            </w:pPr>
            <w:r>
              <w:rPr>
                <w:rFonts w:hint="eastAsia"/>
                <w:color w:val="000000"/>
                <w:sz w:val="24"/>
              </w:rPr>
              <w:t>人民法院</w:t>
            </w:r>
          </w:p>
        </w:tc>
        <w:tc>
          <w:tcPr>
            <w:tcW w:w="568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spacing w:line="240" w:lineRule="exact"/>
              <w:jc w:val="left"/>
              <w:textAlignment w:val="center"/>
              <w:rPr>
                <w:rFonts w:hint="eastAsia"/>
                <w:color w:val="000000"/>
                <w:sz w:val="24"/>
              </w:rPr>
            </w:pPr>
            <w:r>
              <w:rPr>
                <w:rFonts w:hint="eastAsia"/>
                <w:color w:val="000000"/>
                <w:sz w:val="24"/>
              </w:rPr>
              <w:t>社区推荐公民担任当事人诉讼代理人，应当提供该当事人属于该社区的证明材料</w:t>
            </w:r>
          </w:p>
        </w:tc>
        <w:tc>
          <w:tcPr>
            <w:tcW w:w="319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spacing w:line="240" w:lineRule="exact"/>
              <w:textAlignment w:val="center"/>
              <w:rPr>
                <w:rFonts w:hint="eastAsia"/>
                <w:color w:val="000000"/>
                <w:sz w:val="24"/>
              </w:rPr>
            </w:pPr>
            <w:r>
              <w:rPr>
                <w:rFonts w:hint="eastAsia"/>
                <w:color w:val="000000"/>
                <w:sz w:val="24"/>
              </w:rPr>
              <w:t>《中华人民共和国民事诉讼法》第五十九条、最高人民法院《关于适用&lt;中华人民共和国民事诉讼法&gt;的解释》第八十八条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9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color w:val="000000"/>
                <w:sz w:val="24"/>
                <w:shd w:val="clear" w:color="auto" w:fill="FFFFFF"/>
              </w:rPr>
            </w:pPr>
            <w:r>
              <w:rPr>
                <w:rFonts w:hint="eastAsia"/>
                <w:color w:val="000000"/>
                <w:sz w:val="24"/>
                <w:shd w:val="clear" w:color="auto" w:fill="FFFFFF"/>
              </w:rPr>
              <w:t>5</w:t>
            </w:r>
          </w:p>
        </w:tc>
        <w:tc>
          <w:tcPr>
            <w:tcW w:w="13010" w:type="dxa"/>
            <w:gridSpan w:val="4"/>
            <w:tcBorders>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left"/>
              <w:textAlignment w:val="center"/>
              <w:rPr>
                <w:rFonts w:hint="eastAsia"/>
                <w:color w:val="000000"/>
                <w:sz w:val="24"/>
              </w:rPr>
            </w:pPr>
            <w:r>
              <w:rPr>
                <w:rFonts w:hint="eastAsia"/>
                <w:color w:val="000000"/>
                <w:sz w:val="24"/>
              </w:rPr>
              <w:t>法律法规明确规定的其他应当或可以由基层群众性自治组织出具的证明</w:t>
            </w:r>
          </w:p>
        </w:tc>
      </w:tr>
    </w:tbl>
    <w:p/>
    <w:p>
      <w:pPr>
        <w:spacing w:line="580" w:lineRule="exact"/>
        <w:rPr>
          <w:rFonts w:hint="eastAsia" w:ascii="黑体" w:hAnsi="黑体" w:eastAsia="黑体"/>
        </w:rPr>
      </w:pPr>
      <w:r>
        <w:rPr>
          <w:rFonts w:hint="eastAsia" w:ascii="黑体" w:hAnsi="黑体" w:eastAsia="黑体"/>
        </w:rPr>
        <w:t>附</w:t>
      </w:r>
      <w:r>
        <w:rPr>
          <w:rFonts w:hint="eastAsia" w:ascii="黑体" w:hAnsi="黑体" w:eastAsia="黑体"/>
          <w:lang w:eastAsia="zh-CN"/>
        </w:rPr>
        <w:t>件</w:t>
      </w:r>
      <w:r>
        <w:rPr>
          <w:rFonts w:hint="eastAsia" w:ascii="黑体" w:hAnsi="黑体" w:eastAsia="黑体"/>
        </w:rPr>
        <w:t>2</w:t>
      </w:r>
    </w:p>
    <w:p>
      <w:pPr>
        <w:spacing w:line="580" w:lineRule="exact"/>
        <w:jc w:val="center"/>
        <w:rPr>
          <w:rFonts w:hint="eastAsia"/>
        </w:rPr>
      </w:pPr>
      <w:r>
        <w:rPr>
          <w:rFonts w:hint="eastAsia" w:eastAsia="方正小标宋简体"/>
          <w:color w:val="000000"/>
          <w:sz w:val="44"/>
        </w:rPr>
        <w:t>天津市</w:t>
      </w:r>
      <w:r>
        <w:rPr>
          <w:rFonts w:eastAsia="方正小标宋简体"/>
          <w:color w:val="000000"/>
          <w:sz w:val="44"/>
        </w:rPr>
        <w:t>不应由基层群众性自治组织出具证明事项清单（第一批）</w:t>
      </w:r>
    </w:p>
    <w:p>
      <w:pPr>
        <w:spacing w:line="580" w:lineRule="exact"/>
        <w:jc w:val="center"/>
        <w:rPr>
          <w:rFonts w:hint="eastAsia"/>
        </w:rPr>
      </w:pP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9"/>
        <w:gridCol w:w="3176"/>
        <w:gridCol w:w="8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eastAsia="黑体"/>
                <w:color w:val="000000"/>
                <w:sz w:val="28"/>
              </w:rPr>
            </w:pPr>
            <w:r>
              <w:rPr>
                <w:rFonts w:eastAsia="黑体"/>
                <w:color w:val="000000"/>
                <w:sz w:val="28"/>
              </w:rPr>
              <w:t>序号</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eastAsia="黑体"/>
                <w:color w:val="000000"/>
                <w:sz w:val="28"/>
              </w:rPr>
            </w:pPr>
            <w:r>
              <w:rPr>
                <w:rFonts w:eastAsia="黑体"/>
                <w:color w:val="000000"/>
                <w:sz w:val="28"/>
              </w:rPr>
              <w:t>证明名称</w:t>
            </w:r>
          </w:p>
        </w:tc>
        <w:tc>
          <w:tcPr>
            <w:tcW w:w="89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eastAsia="黑体"/>
                <w:color w:val="000000"/>
                <w:sz w:val="28"/>
              </w:rPr>
            </w:pPr>
            <w:r>
              <w:rPr>
                <w:rFonts w:eastAsia="黑体"/>
                <w:color w:val="000000"/>
                <w:sz w:val="28"/>
              </w:rPr>
              <w:t>办事途径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2"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1</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亲属关系证明</w:t>
            </w:r>
          </w:p>
        </w:tc>
        <w:tc>
          <w:tcPr>
            <w:tcW w:w="89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居民办事事项涉及的相关部门可通过与公安、民政、卫生健康等部门信息共享方式进行核对，或由居民据实提供居民户口簿、结婚证、《出生医学证明》等予以证明，证件材料遗失的由相关部门予以补办；曾经同户人员间的亲属关系，历史户籍档案等能够反映，需要开具证明的，公安派出所在核实后应当出具（不动产登记情况、公证办理情况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6"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2</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居民身份信息证明（户籍证明）</w:t>
            </w:r>
          </w:p>
        </w:tc>
        <w:tc>
          <w:tcPr>
            <w:tcW w:w="89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居民办事事项涉及的相关部门可通过与公安部门信息共享方式进行核对，或由居民据实提供居民户口簿、居民身份证、出入境证件等予以证明，证件材料遗失的由相关部门予以补办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3</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户口登记项目内容变更申请证明</w:t>
            </w:r>
          </w:p>
        </w:tc>
        <w:tc>
          <w:tcPr>
            <w:tcW w:w="89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居民直接向公安部门申请办理姓名、性别、民族成份、出生日期、公民身份号码等5项户口登记项目内容变更，无须基层群众性自治组织提供前置证明材料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4</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居民养犬证明</w:t>
            </w:r>
          </w:p>
        </w:tc>
        <w:tc>
          <w:tcPr>
            <w:tcW w:w="89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养犬居民应当自行征求利害关系人的同意，并提供相关证明材料；公安等有关部门应当按法律规定自主进行调查核实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8"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5</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无犯罪记录证明</w:t>
            </w:r>
          </w:p>
        </w:tc>
        <w:tc>
          <w:tcPr>
            <w:tcW w:w="89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根据相关规定，国家正在逐步健全完善犯罪记录制度，人民法院负责依照规定向公安机关送达生效的刑事裁判文书，公安部门、国家安全部门和司法行政部门分别负责受理、审核和处理有关犯罪记录的查询申请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6</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社区戒毒社区康复人员情况证明（表现证明）</w:t>
            </w:r>
          </w:p>
        </w:tc>
        <w:tc>
          <w:tcPr>
            <w:tcW w:w="89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由街道（乡镇）社区戒毒社区康复机构出具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7</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人员失踪证明</w:t>
            </w:r>
          </w:p>
        </w:tc>
        <w:tc>
          <w:tcPr>
            <w:tcW w:w="89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利害关系人直接向基层人民法院提出申请，由基层人民法院依法定程序宣告人员失踪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8</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婚姻状况证明（婚姻关系证明、分居证明）</w:t>
            </w:r>
          </w:p>
        </w:tc>
        <w:tc>
          <w:tcPr>
            <w:tcW w:w="89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居民办事事项涉及的相关部门可通过与民政部门、人民法院信息共享方式进行核对；或由居民据实提供结婚证、离婚证、人民法院生效裁判文书或离婚证明书、配偶死亡证明等予以证明，证件材料遗失的由相关部门予以补办（婚姻登记档案丢失、收养情况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9</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出生证明</w:t>
            </w:r>
          </w:p>
        </w:tc>
        <w:tc>
          <w:tcPr>
            <w:tcW w:w="89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居民应当据实提供《出生医学证明》、居民户口簿、居民身份证、出入境证件等予以证明，证件材料遗失应当及时通过相关部门补办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10</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健在证明</w:t>
            </w:r>
          </w:p>
        </w:tc>
        <w:tc>
          <w:tcPr>
            <w:tcW w:w="89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居民办事事项涉及的相关部门通过与卫生健康部门信息共享的方式进行核对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5"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11</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死亡证明</w:t>
            </w:r>
          </w:p>
        </w:tc>
        <w:tc>
          <w:tcPr>
            <w:tcW w:w="89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居民办事事项涉及的相关部门通过与卫生健康部门、公安部门、人民法院信息共享的方式进行核对；负责救治或正常死亡调查的医疗卫生机构出具《居民死亡医学证明（推断）书》，未经救治的非正常死亡证明由公安部门出具，失踪人员由人民法院依法定程序宣告死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12</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疾病状况证明（急诊证明、意外伤害证明）</w:t>
            </w:r>
          </w:p>
        </w:tc>
        <w:tc>
          <w:tcPr>
            <w:tcW w:w="89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疾病状况证明（急诊证明）由具备医学鉴定资质的医疗卫生机构出具；意外伤害证明由当事人向人力资源社会保障部门、保险公司提供就医记录等材料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13</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残疾状况证明</w:t>
            </w:r>
          </w:p>
        </w:tc>
        <w:tc>
          <w:tcPr>
            <w:tcW w:w="89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由户籍所在地县级卫生行政机构和残联指定的具备评残资格的医疗卫生机构出具相关证明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9"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14</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婚育状况证明（生育状况证明）</w:t>
            </w:r>
          </w:p>
        </w:tc>
        <w:tc>
          <w:tcPr>
            <w:tcW w:w="89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居民办事事项涉及的相关部门通过与卫生健康部门信息共享的方式进行核对；居民提供《出生医学证明》、居民户口簿等予以证明，证件材料遗失应当及时通过相关部门补办（收养情况除外）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4"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15</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居民就业状况证明</w:t>
            </w:r>
          </w:p>
        </w:tc>
        <w:tc>
          <w:tcPr>
            <w:tcW w:w="89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居民实际持有能证明失业身份的，如终止解除劳动关系证明、个体工商户（私营企业主）停业证明等，由居民自行提供；登记失业人员、就业困难人员由公共就业服务机构在其申领的《就业创业证》上予以注明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16</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居民个人档案证明</w:t>
            </w:r>
          </w:p>
        </w:tc>
        <w:tc>
          <w:tcPr>
            <w:tcW w:w="89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居民办事事项涉及的相关部门通过居民个人档案保管单位信息共享的方式进行核对；居民应当提供真实、合法、充分的有关证明材料（国家另有规定的除外）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1"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17</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居民财产证明（经济状况证明、收入证明、偿还能力证明、房产证明、银行存款证明、投资情况证明、车辆所有权证明等）</w:t>
            </w:r>
          </w:p>
        </w:tc>
        <w:tc>
          <w:tcPr>
            <w:tcW w:w="89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居民办事事项涉及的相关部门按照法定程序与权限，通过与财政、税务、人力资源社会保障、房地产管理、自然资源、银保监、证监、市场监管、公安等部门信息共享或个案查询的方式进行核对；居民应当据实提供不动产权属证书、银行存款凭证、有价证券、保险合同、车辆行驶证等予以证明，证件材料遗失应当及时通过相关部门补办（法律援助情况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6"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18</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遗产继承权证明</w:t>
            </w:r>
          </w:p>
        </w:tc>
        <w:tc>
          <w:tcPr>
            <w:tcW w:w="89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居民办事事项涉及的相关部门通过与民政、卫生健康等部门信息共享的方式进行核对；居民应当据实提供结婚证、离婚证、居民户口簿、《出生医学证明》等予以证明，证件材料遗失应当及时通过相关部门补办；继承人应当本着互谅互让、和谐团结的精神，协商处理继承问题，遗产分割的时间、办法和份额，由继承人协商确定，协商不成的，可以由人民调解委员会调解或者向人民法院提起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19</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市场主体住所证明（经营场所证明、同意住宅改变为经营性用房证明、社区经营性用房无扰民证明）</w:t>
            </w:r>
          </w:p>
        </w:tc>
        <w:tc>
          <w:tcPr>
            <w:tcW w:w="89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申请人应当提供经营场所的不动产权属证明文件、有效租赁合同等；住宅改变为经营性用房的，申请人应当自行征求利害关系人的同意，并提供相关证明材料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5"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color w:val="000000"/>
                <w:sz w:val="24"/>
              </w:rPr>
            </w:pPr>
            <w:r>
              <w:rPr>
                <w:color w:val="000000"/>
                <w:sz w:val="24"/>
              </w:rPr>
              <w:t>20</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证件遗失证明</w:t>
            </w:r>
          </w:p>
        </w:tc>
        <w:tc>
          <w:tcPr>
            <w:tcW w:w="89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居民遗失居民身份证、居民户口簿、出入境证件、结婚证、离婚证、老年人优待证、残疾人证、残疾军人证、车辆行驶证、《出生医学证明》、《居民死亡医学证明（推断）书》、学历学位证书等证件、证明材料，以及银行卡、存折、保险合同、邮政汇款单、邮政包裹单、电卡、天然气卡等商业凭证，应当向业务归口管理部门或经办单位申请补发，无须基层群众性自治组织提供前置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sz w:val="24"/>
              </w:rPr>
            </w:pPr>
            <w:r>
              <w:rPr>
                <w:sz w:val="24"/>
              </w:rPr>
              <w:t>21</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居住时间证明（家庭成员共同居住证明）</w:t>
            </w:r>
          </w:p>
        </w:tc>
        <w:tc>
          <w:tcPr>
            <w:tcW w:w="89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居民应据实提供户口簿、房产证、居住证、房屋租赁协议等证件予以证明，相关证件遗失的应当及时通过相关部门补办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sz w:val="24"/>
              </w:rPr>
            </w:pPr>
            <w:r>
              <w:rPr>
                <w:sz w:val="24"/>
              </w:rPr>
              <w:t>22</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赡养证明</w:t>
            </w:r>
          </w:p>
        </w:tc>
        <w:tc>
          <w:tcPr>
            <w:tcW w:w="89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居民办事事项</w:t>
            </w:r>
            <w:r>
              <w:rPr>
                <w:rFonts w:hint="eastAsia"/>
                <w:color w:val="000000"/>
                <w:sz w:val="24"/>
                <w:lang w:eastAsia="zh-CN"/>
              </w:rPr>
              <w:t>涉及</w:t>
            </w:r>
            <w:r>
              <w:rPr>
                <w:color w:val="000000"/>
                <w:sz w:val="24"/>
              </w:rPr>
              <w:t>的相关部门应该通过走访调查、信息共享等方式进行核对，居民应如实提供赡养相关情况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sz w:val="24"/>
              </w:rPr>
            </w:pPr>
            <w:r>
              <w:rPr>
                <w:sz w:val="24"/>
              </w:rPr>
              <w:t>23</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独生子女证明（无子女证明、孤寡老人证明）</w:t>
            </w:r>
          </w:p>
        </w:tc>
        <w:tc>
          <w:tcPr>
            <w:tcW w:w="89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居民办事事项</w:t>
            </w:r>
            <w:r>
              <w:rPr>
                <w:rFonts w:hint="eastAsia"/>
                <w:color w:val="000000"/>
                <w:sz w:val="24"/>
                <w:lang w:eastAsia="zh-CN"/>
              </w:rPr>
              <w:t>涉及的</w:t>
            </w:r>
            <w:r>
              <w:rPr>
                <w:color w:val="000000"/>
                <w:sz w:val="24"/>
              </w:rPr>
              <w:t>相关部门通过与有关部门信息共享方式进行核对，居民应如实提供户口簿、独生子女证等相关证明材料予以证明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sz w:val="24"/>
              </w:rPr>
            </w:pPr>
            <w:r>
              <w:rPr>
                <w:sz w:val="24"/>
              </w:rPr>
              <w:t>24</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无监护人证明、孩子在居住地无监护人证明</w:t>
            </w:r>
          </w:p>
        </w:tc>
        <w:tc>
          <w:tcPr>
            <w:tcW w:w="89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居民办事事项</w:t>
            </w:r>
            <w:r>
              <w:rPr>
                <w:rFonts w:hint="eastAsia"/>
                <w:color w:val="000000"/>
                <w:sz w:val="24"/>
                <w:lang w:eastAsia="zh-CN"/>
              </w:rPr>
              <w:t>涉及的</w:t>
            </w:r>
            <w:r>
              <w:rPr>
                <w:color w:val="000000"/>
                <w:sz w:val="24"/>
              </w:rPr>
              <w:t>相关部门应该通过与有关部门信息共享的方式进行核对，居民应据实提供户口簿等证明材料予以证明（居</w:t>
            </w:r>
            <w:r>
              <w:rPr>
                <w:rFonts w:hint="eastAsia"/>
                <w:color w:val="000000"/>
                <w:sz w:val="24"/>
              </w:rPr>
              <w:t>民委员会</w:t>
            </w:r>
            <w:r>
              <w:rPr>
                <w:color w:val="000000"/>
                <w:sz w:val="24"/>
              </w:rPr>
              <w:t>、村</w:t>
            </w:r>
            <w:r>
              <w:rPr>
                <w:rFonts w:hint="eastAsia"/>
                <w:color w:val="000000"/>
                <w:sz w:val="24"/>
              </w:rPr>
              <w:t>民委员会</w:t>
            </w:r>
            <w:r>
              <w:rPr>
                <w:color w:val="000000"/>
                <w:sz w:val="24"/>
              </w:rPr>
              <w:t>担任监护人的除外）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sz w:val="24"/>
              </w:rPr>
            </w:pPr>
            <w:r>
              <w:rPr>
                <w:sz w:val="24"/>
              </w:rPr>
              <w:t>25</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房屋地址与户籍地址一致证明（户籍地址与居住地址一致证明）</w:t>
            </w:r>
          </w:p>
        </w:tc>
        <w:tc>
          <w:tcPr>
            <w:tcW w:w="89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居民办事</w:t>
            </w:r>
            <w:r>
              <w:rPr>
                <w:rFonts w:hint="eastAsia"/>
                <w:color w:val="000000"/>
                <w:sz w:val="24"/>
                <w:lang w:eastAsia="zh-CN"/>
              </w:rPr>
              <w:t>事项涉及的</w:t>
            </w:r>
            <w:r>
              <w:rPr>
                <w:color w:val="000000"/>
                <w:sz w:val="24"/>
              </w:rPr>
              <w:t>相关部门应该通过信息共享、走访等方式进行核对，居民应该据实提供相关材料予以证明。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sz w:val="24"/>
              </w:rPr>
            </w:pPr>
            <w:r>
              <w:rPr>
                <w:sz w:val="24"/>
              </w:rPr>
              <w:t>26</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享受拆迁补偿相关政策的证明</w:t>
            </w:r>
          </w:p>
        </w:tc>
        <w:tc>
          <w:tcPr>
            <w:tcW w:w="89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由相关部门按规定予以证明，居民应如实说明情况。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sz w:val="24"/>
              </w:rPr>
            </w:pPr>
            <w:r>
              <w:rPr>
                <w:sz w:val="24"/>
              </w:rPr>
              <w:t>27</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办理保险等相关事项时姓名输入错误证明</w:t>
            </w:r>
          </w:p>
        </w:tc>
        <w:tc>
          <w:tcPr>
            <w:tcW w:w="89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居民办事事项涉及的相关部门进行核实，居民如实说明情况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sz w:val="24"/>
              </w:rPr>
            </w:pPr>
            <w:r>
              <w:rPr>
                <w:sz w:val="24"/>
              </w:rPr>
              <w:t>28</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申请饲养信鸽证明社区邻居同意的证明</w:t>
            </w:r>
          </w:p>
        </w:tc>
        <w:tc>
          <w:tcPr>
            <w:tcW w:w="89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申请人应当自行征求利害关系人的意见，并提供相关证明材料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sz w:val="24"/>
              </w:rPr>
            </w:pPr>
            <w:r>
              <w:rPr>
                <w:sz w:val="24"/>
              </w:rPr>
              <w:t>29</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实际居住人数5人（含）以上，用于增减用水、用电基数</w:t>
            </w:r>
          </w:p>
        </w:tc>
        <w:tc>
          <w:tcPr>
            <w:tcW w:w="89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居民办事事项涉及</w:t>
            </w:r>
            <w:r>
              <w:rPr>
                <w:rFonts w:hint="eastAsia"/>
                <w:color w:val="000000"/>
                <w:sz w:val="24"/>
                <w:lang w:eastAsia="zh-CN"/>
              </w:rPr>
              <w:t>的</w:t>
            </w:r>
            <w:r>
              <w:rPr>
                <w:color w:val="000000"/>
                <w:sz w:val="24"/>
              </w:rPr>
              <w:t>相关部门进行核实，居民如实提供有关情况说明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sz w:val="24"/>
              </w:rPr>
            </w:pPr>
            <w:r>
              <w:rPr>
                <w:sz w:val="24"/>
              </w:rPr>
              <w:t>30</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同意安装充电桩的证明</w:t>
            </w:r>
          </w:p>
        </w:tc>
        <w:tc>
          <w:tcPr>
            <w:tcW w:w="89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居民办事事项涉及</w:t>
            </w:r>
            <w:r>
              <w:rPr>
                <w:rFonts w:hint="eastAsia"/>
                <w:color w:val="000000"/>
                <w:sz w:val="24"/>
                <w:lang w:eastAsia="zh-CN"/>
              </w:rPr>
              <w:t>的</w:t>
            </w:r>
            <w:r>
              <w:rPr>
                <w:color w:val="000000"/>
                <w:sz w:val="24"/>
              </w:rPr>
              <w:t>相关部门</w:t>
            </w:r>
            <w:r>
              <w:rPr>
                <w:rFonts w:hint="eastAsia"/>
                <w:color w:val="000000"/>
                <w:sz w:val="24"/>
              </w:rPr>
              <w:t>进行</w:t>
            </w:r>
            <w:r>
              <w:rPr>
                <w:color w:val="000000"/>
                <w:sz w:val="24"/>
              </w:rPr>
              <w:t>核实，居民应该如实提供相关情况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sz w:val="24"/>
              </w:rPr>
            </w:pPr>
            <w:r>
              <w:rPr>
                <w:sz w:val="24"/>
              </w:rPr>
              <w:t>31</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居民代取药的证明</w:t>
            </w:r>
          </w:p>
        </w:tc>
        <w:tc>
          <w:tcPr>
            <w:tcW w:w="896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color w:val="000000"/>
                <w:sz w:val="24"/>
              </w:rPr>
            </w:pPr>
            <w:r>
              <w:rPr>
                <w:color w:val="000000"/>
                <w:sz w:val="24"/>
              </w:rPr>
              <w:t>居民办事事项</w:t>
            </w:r>
            <w:r>
              <w:rPr>
                <w:rFonts w:hint="eastAsia"/>
                <w:color w:val="000000"/>
                <w:sz w:val="24"/>
                <w:lang w:eastAsia="zh-CN"/>
              </w:rPr>
              <w:t>涉及的</w:t>
            </w:r>
            <w:r>
              <w:rPr>
                <w:color w:val="000000"/>
                <w:sz w:val="24"/>
              </w:rPr>
              <w:t>相关部门应该通过与有关部门信息共享的方式进行核对，居民应如实提供相关情况说明</w:t>
            </w:r>
          </w:p>
        </w:tc>
      </w:tr>
    </w:tbl>
    <w:p>
      <w:pPr>
        <w:spacing w:line="580" w:lineRule="exact"/>
        <w:rPr>
          <w:rFonts w:hint="eastAsia"/>
        </w:rPr>
        <w:sectPr>
          <w:pgSz w:w="16838" w:h="11906" w:orient="landscape"/>
          <w:pgMar w:top="1531" w:right="2097" w:bottom="1531" w:left="1984" w:header="851" w:footer="992" w:gutter="0"/>
          <w:cols w:space="720" w:num="1"/>
          <w:docGrid w:type="lines" w:linePitch="312" w:charSpace="-849"/>
        </w:sectPr>
      </w:pPr>
    </w:p>
    <w:p>
      <w:pPr>
        <w:spacing w:line="580" w:lineRule="exact"/>
        <w:rPr>
          <w:rFonts w:hint="eastAsia" w:ascii="黑体" w:hAnsi="黑体" w:eastAsia="黑体"/>
        </w:rPr>
      </w:pPr>
      <w:r>
        <w:rPr>
          <w:rFonts w:hint="eastAsia" w:ascii="黑体" w:hAnsi="黑体" w:eastAsia="黑体"/>
        </w:rPr>
        <w:t>附</w:t>
      </w:r>
      <w:r>
        <w:rPr>
          <w:rFonts w:hint="eastAsia" w:ascii="黑体" w:hAnsi="黑体" w:eastAsia="黑体"/>
          <w:lang w:eastAsia="zh-CN"/>
        </w:rPr>
        <w:t>件</w:t>
      </w:r>
      <w:r>
        <w:rPr>
          <w:rFonts w:hint="eastAsia" w:ascii="黑体" w:hAnsi="黑体" w:eastAsia="黑体"/>
        </w:rPr>
        <w:t>3</w:t>
      </w:r>
    </w:p>
    <w:p>
      <w:pPr>
        <w:spacing w:line="580" w:lineRule="exact"/>
        <w:rPr>
          <w:rFonts w:hint="eastAsia" w:ascii="黑体" w:hAnsi="黑体" w:eastAsia="黑体"/>
          <w:sz w:val="44"/>
        </w:rPr>
      </w:pPr>
    </w:p>
    <w:p>
      <w:pPr>
        <w:jc w:val="center"/>
        <w:rPr>
          <w:rFonts w:hint="eastAsia" w:eastAsia="方正小标宋简体"/>
          <w:sz w:val="44"/>
        </w:rPr>
      </w:pPr>
      <w: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571500</wp:posOffset>
                </wp:positionV>
                <wp:extent cx="5444490" cy="36830"/>
                <wp:effectExtent l="0" t="25400" r="3810" b="33020"/>
                <wp:wrapNone/>
                <wp:docPr id="1" name="直接连接符 1"/>
                <wp:cNvGraphicFramePr/>
                <a:graphic xmlns:a="http://schemas.openxmlformats.org/drawingml/2006/main">
                  <a:graphicData uri="http://schemas.microsoft.com/office/word/2010/wordprocessingShape">
                    <wps:wsp>
                      <wps:cNvCnPr/>
                      <wps:spPr>
                        <a:xfrm flipV="true">
                          <a:off x="0" y="0"/>
                          <a:ext cx="5444490" cy="36830"/>
                        </a:xfrm>
                        <a:prstGeom prst="line">
                          <a:avLst/>
                        </a:prstGeom>
                        <a:ln w="50800"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y;margin-left:-0.45pt;margin-top:45pt;height:2.9pt;width:428.7pt;z-index:251658240;mso-width-relative:page;mso-height-relative:page;" filled="f" stroked="t" coordsize="21600,21600" o:gfxdata="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&#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CQEsbDYAAAABwEAAA8AAAAAAAAAAQAgAAAAOAAAAGRy&#10;cy9kb3ducmV2LnhtbFBLAQIUABQAAAAIAIdO4kC9t0D17wEAALkDAAAOAAAAAAAAAAEAIAAAAD0B&#10;AABkcnMvZTJvRG9jLnhtbFBLBQYAAAAABgAGAFkBAACeBQAAAAA=&#10;">
                <v:fill on="f" focussize="0,0"/>
                <v:stroke weight="4pt" color="#FF0000" joinstyle="round"/>
                <v:imagedata o:title=""/>
                <o:lock v:ext="edit" aspectratio="f"/>
              </v:line>
            </w:pict>
          </mc:Fallback>
        </mc:AlternateContent>
      </w:r>
      <w:r>
        <w:rPr>
          <w:rFonts w:hint="eastAsia" w:eastAsia="方正小标宋简体"/>
          <w:sz w:val="44"/>
        </w:rPr>
        <w:t>天津市基层群众性自治组织证明（式样）</w:t>
      </w:r>
    </w:p>
    <w:p>
      <w:pPr>
        <w:jc w:val="center"/>
        <w:rPr>
          <w:rFonts w:hint="eastAsia"/>
        </w:rPr>
      </w:pPr>
      <w:r>
        <w:rPr>
          <w:rFonts w:hint="eastAsia"/>
        </w:rPr>
        <w:t xml:space="preserve">                 </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       街道     社区（村）证明第    号</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8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根据我社区（村）居民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（姓名），身份号</w:t>
      </w:r>
      <w:r>
        <w:rPr>
          <w:rFonts w:hint="eastAsia" w:ascii="仿宋_GB2312" w:hAnsi="仿宋_GB2312" w:eastAsia="仿宋_GB2312" w:cs="仿宋_GB2312"/>
          <w:sz w:val="32"/>
          <w:szCs w:val="32"/>
          <w:u w:val="single"/>
        </w:rPr>
        <w:t xml:space="preserve">       </w:t>
      </w:r>
    </w:p>
    <w:p>
      <w:pPr>
        <w:spacing w:line="58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的需要，依据</w:t>
      </w:r>
      <w:r>
        <w:rPr>
          <w:rFonts w:hint="eastAsia" w:ascii="仿宋_GB2312" w:hAnsi="仿宋_GB2312" w:eastAsia="仿宋_GB2312" w:cs="仿宋_GB2312"/>
          <w:sz w:val="32"/>
          <w:szCs w:val="32"/>
          <w:u w:val="single"/>
        </w:rPr>
        <w:t xml:space="preserve">                          </w:t>
      </w:r>
    </w:p>
    <w:p>
      <w:pPr>
        <w:spacing w:line="58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（法律法规），经居（村）民委员会调查了解，兹证明</w:t>
      </w:r>
      <w:r>
        <w:rPr>
          <w:rFonts w:hint="eastAsia" w:ascii="仿宋_GB2312" w:hAnsi="仿宋_GB2312" w:eastAsia="仿宋_GB2312" w:cs="仿宋_GB2312"/>
          <w:sz w:val="32"/>
          <w:szCs w:val="32"/>
          <w:u w:val="single"/>
        </w:rPr>
        <w:t xml:space="preserve">                               </w:t>
      </w:r>
    </w:p>
    <w:p>
      <w:pPr>
        <w:spacing w:line="58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（证明事项），用于办理 </w:t>
      </w:r>
      <w:r>
        <w:rPr>
          <w:rFonts w:hint="eastAsia" w:ascii="仿宋_GB2312" w:hAnsi="仿宋_GB2312" w:eastAsia="仿宋_GB2312" w:cs="仿宋_GB2312"/>
          <w:sz w:val="32"/>
          <w:szCs w:val="32"/>
          <w:u w:val="single"/>
        </w:rPr>
        <w:t xml:space="preserve">                                                  </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（证明用途）事务。    </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此证明有效期至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spacing w:line="580" w:lineRule="exact"/>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（基层群众性自治组织盖章）</w:t>
      </w:r>
    </w:p>
    <w:p>
      <w:pPr>
        <w:spacing w:line="580" w:lineRule="exact"/>
        <w:rPr>
          <w:rFonts w:hint="eastAsia"/>
          <w:lang w:val="en-US" w:eastAsia="zh-CN"/>
        </w:rPr>
      </w:pPr>
      <w:r>
        <w:rPr>
          <w:rFonts w:hint="eastAsia" w:ascii="仿宋_GB2312" w:hAnsi="仿宋_GB2312" w:eastAsia="仿宋_GB2312" w:cs="仿宋_GB2312"/>
          <w:sz w:val="32"/>
          <w:szCs w:val="32"/>
        </w:rPr>
        <w:t xml:space="preserve">   本证明一式两份，基层群众性自治组织留存一份，居民持有一份</w:t>
      </w:r>
      <w:bookmarkStart w:id="0" w:name="_GoBack"/>
      <w:bookmarkEnd w:id="0"/>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Align="top"/>
      <w:pBdr>
        <w:between w:val="none" w:color="auto" w:sz="0" w:space="0"/>
      </w:pBdr>
      <w:rPr>
        <w:sz w:val="28"/>
      </w:rPr>
    </w:pPr>
    <w:r>
      <w:rPr>
        <w:rStyle w:val="7"/>
        <w:sz w:val="28"/>
      </w:rPr>
      <w:t xml:space="preserve">— </w:t>
    </w:r>
    <w:r>
      <w:rPr>
        <w:sz w:val="28"/>
      </w:rPr>
      <w:fldChar w:fldCharType="begin"/>
    </w:r>
    <w:r>
      <w:rPr>
        <w:rStyle w:val="7"/>
        <w:sz w:val="28"/>
      </w:rPr>
      <w:instrText xml:space="preserve"> PAGE  </w:instrText>
    </w:r>
    <w:r>
      <w:rPr>
        <w:sz w:val="28"/>
      </w:rPr>
      <w:fldChar w:fldCharType="separate"/>
    </w:r>
    <w:r>
      <w:rPr>
        <w:rStyle w:val="7"/>
        <w:sz w:val="28"/>
      </w:rPr>
      <w:t>13</w:t>
    </w:r>
    <w:r>
      <w:rPr>
        <w:sz w:val="28"/>
      </w:rPr>
      <w:fldChar w:fldCharType="end"/>
    </w:r>
    <w:r>
      <w:rPr>
        <w:rStyle w:val="7"/>
        <w:sz w:val="28"/>
      </w:rPr>
      <w:t xml:space="preserve"> —</w:t>
    </w:r>
  </w:p>
  <w:p>
    <w:pPr>
      <w:pStyle w:val="2"/>
      <w:ind w:right="360" w:firstLine="360"/>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YzlhMzk0Yzc2ZjdkZmQzNDBkZTk5Y2EwM2QzYTAifQ=="/>
  </w:docVars>
  <w:rsids>
    <w:rsidRoot w:val="00000000"/>
    <w:rsid w:val="12B737C1"/>
    <w:rsid w:val="3DFF992E"/>
    <w:rsid w:val="599650E2"/>
    <w:rsid w:val="5FFAFF0A"/>
    <w:rsid w:val="67D72041"/>
    <w:rsid w:val="79FDB7D2"/>
    <w:rsid w:val="97DF8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qFormat/>
    <w:uiPriority w:val="0"/>
    <w:rPr>
      <w:rFonts w:ascii="Times New Roman" w:hAnsi="Times New Roman" w:eastAsia="宋体" w:cs="Times New Roman"/>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Words>
  <Characters>55</Characters>
  <Lines>0</Lines>
  <Paragraphs>0</Paragraphs>
  <TotalTime>0</TotalTime>
  <ScaleCrop>false</ScaleCrop>
  <LinksUpToDate>false</LinksUpToDate>
  <CharactersWithSpaces>60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2023-06-27T04:41:00Z</dcterms:created>
  <dc:creator>1</dc:creator>
  <cp:lastModifiedBy>greatwall</cp:lastModifiedBy>
  <dcterms:modified xsi:type="dcterms:W3CDTF">2024-06-13T11:47:51Z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611F9B927AB84294B84D3D63E3D6462E_12</vt:lpwstr>
  </property>
</Properties>
</file>