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持续深入打好污染防治攻坚战三年行动重点工程</w:t>
      </w:r>
    </w:p>
    <w:tbl>
      <w:tblPr>
        <w:tblStyle w:val="8"/>
        <w:tblW w:w="5397" w:type="pct"/>
        <w:tblInd w:w="-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37"/>
        <w:gridCol w:w="6259"/>
        <w:gridCol w:w="2648"/>
        <w:gridCol w:w="1262"/>
        <w:gridCol w:w="901"/>
        <w:gridCol w:w="987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tblHeader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</w:t>
            </w:r>
          </w:p>
        </w:tc>
        <w:tc>
          <w:tcPr>
            <w:tcW w:w="20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重点工程</w:t>
            </w:r>
          </w:p>
        </w:tc>
        <w:tc>
          <w:tcPr>
            <w:tcW w:w="8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93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47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持续深入打好蓝天保卫战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（一）加快移动源清洁化替代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持续深化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外集内配、绿色联运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运输模式，加快推动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轨道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仓储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+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新能源汽车配送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的生产生活物资公铁联运项目落地实施。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发改</w:t>
            </w:r>
            <w:r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研究制定国四及以下排放标准中重型柴油、燃气货车进入外环线以内限制性管理措施。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公安</w:t>
            </w: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宁河分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完成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基本停止使用国三及以下排放标准清扫车、洒水车、垃圾运输车和邮政车。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邮政宁河分公司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完成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基本淘汰国三及以下排放标准汽车。加快淘汰采用稀薄燃烧技术的燃气货车。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机关事务管理局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邮政宁河分公司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国资委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（一）加快移动源清洁化替代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积极推进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公共领域车辆全面电动化先行区。公交、环卫、城市邮政、物流配送等新增和更新车辆新能源化比例不低于80%。鼓励城建物流领域使用新能源重型货车，政府、国企投资项目优先使用新能源渣土车、混凝土车。新增和更新的出租车使用新能源汽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" w:eastAsia="zh-CN" w:bidi="ar"/>
              </w:rPr>
              <w:t>区交通局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发改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城管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" w:eastAsia="zh-CN" w:bidi="ar"/>
              </w:rPr>
              <w:t>住建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公安</w:t>
            </w: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宁河</w:t>
            </w:r>
            <w:r>
              <w:rPr>
                <w:rStyle w:val="14"/>
                <w:rFonts w:hint="default" w:ascii="仿宋_GB2312" w:hAnsi="Times New Roman" w:cs="Times New Roman"/>
                <w:sz w:val="24"/>
                <w:szCs w:val="24"/>
                <w:lang w:val="en" w:eastAsia="zh-CN" w:bidi="ar"/>
              </w:rPr>
              <w:t>分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水务局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邮政宁河分公司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积极研究推进与京冀两地建立零排放货车通道试点示范建设。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 w:bidi="ar"/>
              </w:rPr>
              <w:t>启动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eastAsia="zh-CN" w:bidi="ar"/>
              </w:rPr>
              <w:t>加快推动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钢铁、火电、水泥等重点行业短距离运输车辆新能源替代。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区交通局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区工信局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eastAsia="zh-CN" w:bidi="ar"/>
              </w:rPr>
              <w:t>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2025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年底，基本淘汰国一及以下排放标准非道路移动机械。加快推进铁路货场、物流园区以及重点企业新增和更新的非道路移动机械新能源化。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" w:eastAsia="zh-CN" w:bidi="ar"/>
              </w:rPr>
              <w:t>住建</w:t>
            </w:r>
            <w:r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城管</w:t>
            </w:r>
            <w:r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加快推动重点行业绿色转型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天津市新天钢联合特钢有限公司实施转炉焖渣系统升级改造，完成第四代有压热焖或更先进焖渣工艺改造工程。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启动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10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天津市新天钢联合特钢有限公司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达到环境绩效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A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级水平。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7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按照市级部门统一部署，严格落实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电炉钢</w:t>
            </w:r>
            <w:r>
              <w:rPr>
                <w:rStyle w:val="17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相关要求。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发改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玖龙纸业（天津）有限公司、天津绿动环保能源有限公司等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垃圾焚烧处理企业提前一个月对标调试，确保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日起标准执行后稳定达标。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5"/>
                <w:rFonts w:hint="eastAsia" w:ascii="Times New Roman" w:hAnsi="Times New Roman" w:eastAsia="仿宋_GB2312" w:cs="Times New Roman"/>
                <w:w w:val="75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Style w:val="15"/>
                <w:rFonts w:hint="eastAsia" w:ascii="Times New Roman" w:hAnsi="Times New Roman" w:eastAsia="仿宋_GB2312" w:cs="Times New Roman"/>
                <w:w w:val="75"/>
                <w:sz w:val="24"/>
                <w:szCs w:val="24"/>
                <w:highlight w:val="none"/>
                <w:lang w:eastAsia="zh-CN" w:bidi="ar"/>
              </w:rPr>
              <w:t>经济开发区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Calibri" w:hAnsi="Calibri" w:eastAsia="文星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廉庄镇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完成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结合垃圾处理企业污染排放水平，合理优化垃圾分配方式。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城管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启动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完成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“落实国家产业结构调整指导目录及市级部门要求，全面退出不符合要求的热轧窄带生产线，鼓励限制类独立热轧企业转型升级。”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区工信局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—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启动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砖瓦等行业企业，产业集聚区内生产水平落后的涉气企业，实施生产工艺、装备、产品转型升级，确无法转型的通过加严环境约束、优化产业政策、推动落后淘汰等方式关停退出。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发改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—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启动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加快推动重点行业绿色转型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重点行业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企业分批推动实施溶剂型涂料、油墨、清洗剂和胶粘剂替代项目。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" w:eastAsia="zh-CN"/>
              </w:rPr>
              <w:t>区工信局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启动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完成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结合产业特点，</w:t>
            </w: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按照全市统一部署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，到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2025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年，力争火电及垃圾焚烧企业全部达到环境绩效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A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级水平，对无法达到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A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级的实施差异化管控措施。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相关</w:t>
            </w:r>
            <w:r>
              <w:rPr>
                <w:rStyle w:val="17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街镇园区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启动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推动煤炭清洁高效利用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完成“十四五”时期市级下达我区控煤目标任务。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发改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城管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各街镇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启动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19</w:t>
            </w: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严格控制钢铁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重点行业用煤总量。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" w:eastAsia="zh-CN"/>
              </w:rPr>
              <w:t>区工信局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" w:eastAsia="zh-CN"/>
              </w:rPr>
              <w:t>区发改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启动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</w:t>
            </w: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启动玖龙纸业（天津）有限公司自备燃煤机组清洁能源替代或关停工程。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发改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国家电网天津宁河供电有限公司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经济开发区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--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启动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21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全面加强扬尘污染管控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建立配套工程</w:t>
            </w:r>
            <w:r>
              <w:rPr>
                <w:rStyle w:val="19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级部门联动机制，严格落实</w:t>
            </w:r>
            <w:r>
              <w:rPr>
                <w:rStyle w:val="2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六个百分之百</w:t>
            </w:r>
            <w:r>
              <w:rPr>
                <w:rStyle w:val="2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控尘要求，对典型污染问题通报约谈。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sz w:val="24"/>
                <w:szCs w:val="24"/>
                <w:lang w:val="en" w:eastAsia="zh-CN" w:bidi="ar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" w:eastAsia="zh-CN" w:bidi="ar"/>
              </w:rPr>
              <w:t>住建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" w:eastAsia="zh-CN" w:bidi="ar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7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交通局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sz w:val="24"/>
                <w:szCs w:val="24"/>
                <w:lang w:val="en" w:eastAsia="zh-CN" w:bidi="ar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7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城管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sz w:val="24"/>
                <w:szCs w:val="24"/>
                <w:lang w:val="en" w:eastAsia="zh-CN" w:bidi="ar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水务局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—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22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对重点道路持续实施</w:t>
            </w:r>
            <w:r>
              <w:rPr>
                <w:rStyle w:val="20"/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 w:bidi="ar"/>
              </w:rPr>
              <w:t>“</w:t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以克论净</w:t>
            </w:r>
            <w:r>
              <w:rPr>
                <w:rStyle w:val="20"/>
                <w:rFonts w:hint="default" w:ascii="Times New Roman" w:hAnsi="Times New Roman" w:eastAsia="宋体" w:cs="Times New Roman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”</w:t>
            </w:r>
            <w:r>
              <w:rPr>
                <w:rStyle w:val="19"/>
                <w:rFonts w:hint="eastAsia" w:ascii="Times New Roman" w:hAnsi="Times New Roman" w:cs="Times New Roman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扫保</w:t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，2023年不低于75%，到2025年达标率达到78%以上。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7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城管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6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各街镇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23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  <w:t>（四）全面加强扬尘污染管控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推进吸尘式机械化湿式清扫作业，到2025年，建成区道路机械化清扫率达到93%。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Style w:val="17"/>
                <w:rFonts w:hint="eastAsia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城管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 w:bidi="ar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6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芦台街道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桥北街道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7"/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24</w:t>
            </w:r>
          </w:p>
        </w:tc>
        <w:tc>
          <w:tcPr>
            <w:tcW w:w="4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常态化开展巡检排查，引导农户合规处置秸秆荒草，依法查处露天焚烧行为。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7"/>
                <w:rFonts w:hint="default" w:ascii="Times New Roman" w:hAnsi="Times New Roman" w:eastAsia="宋体" w:cs="Times New Roman"/>
                <w:sz w:val="24"/>
                <w:szCs w:val="24"/>
                <w:lang w:val="en" w:eastAsia="zh-CN" w:bidi="ar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7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7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城管</w:t>
            </w:r>
            <w:r>
              <w:rPr>
                <w:rStyle w:val="17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各街镇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25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解决老百姓“家门口”的污染问题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持续抓好油烟污染治理，</w:t>
            </w: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定期组织</w:t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开展排查，</w:t>
            </w: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动态更新餐饮服务项目清单，</w:t>
            </w:r>
            <w:r>
              <w:rPr>
                <w:rStyle w:val="19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确保油烟净化设施正常运行和清洗维护，依法查处油烟超标排放。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区</w:t>
            </w:r>
            <w:r>
              <w:rPr>
                <w:rStyle w:val="16"/>
                <w:rFonts w:hint="eastAsia" w:ascii="Times New Roman" w:hAnsi="Times New Roman" w:eastAsia="仿宋_GB2312" w:cs="Times New Roman"/>
                <w:lang w:val="en-US" w:eastAsia="zh-CN" w:bidi="ar"/>
              </w:rPr>
              <w:t>城管</w:t>
            </w: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各街镇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加强燃煤电厂、水泥、垃圾焚烧发电等行业氨排放监管，到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2025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年烟气脱硫脱硝氨逃逸浓度控制在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5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毫克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/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立方米以下。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生态环境局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各街镇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启动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新建垃圾中转站应配套密闭负压收集和除臭设施</w:t>
            </w: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，因地制宜采取密闭收集和除臭措施。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区</w:t>
            </w:r>
            <w:r>
              <w:rPr>
                <w:rStyle w:val="14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城管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委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各街镇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6"/>
                <w:rFonts w:hint="default" w:ascii="Times New Roman" w:hAnsi="Times New Roman" w:eastAsia="仿宋_GB2312" w:cs="Times New Roman"/>
                <w:lang w:val="en-US" w:eastAsia="zh-CN" w:bidi="ar"/>
              </w:rPr>
              <w:t>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4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en-US" w:eastAsia="zh-CN" w:bidi="ar"/>
              </w:rPr>
              <w:t>（六）基本消除重污染天气</w:t>
            </w: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实施2023年大气治理百日攻坚行动，全力压减污染排放，科学削减污染峰值。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区发改委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区城管委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区住建委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区工信局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区农业农村委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区水务局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区商务局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区市场监管局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区交通局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公安宁河分局交警支队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完成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4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严格落实《天津市烟花爆竹安全管理办法》，推动烟花爆竹禁燃禁放。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公安</w:t>
            </w:r>
            <w:r>
              <w:rPr>
                <w:rStyle w:val="14"/>
                <w:rFonts w:hint="eastAsia" w:hAnsi="Times New Roman" w:cs="Times New Roman"/>
                <w:sz w:val="24"/>
                <w:szCs w:val="24"/>
                <w:lang w:val="en-US" w:eastAsia="zh-CN" w:bidi="ar"/>
              </w:rPr>
              <w:t>宁河分</w:t>
            </w:r>
            <w:r>
              <w:rPr>
                <w:rStyle w:val="14"/>
                <w:rFonts w:hint="default" w:ascii="Times New Roman" w:hAnsi="Times New Roman" w:cs="Times New Roman"/>
                <w:sz w:val="24"/>
                <w:szCs w:val="24"/>
                <w:lang w:val="en-US" w:eastAsia="zh-CN" w:bidi="ar"/>
              </w:rPr>
              <w:t>局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5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推进</w:t>
            </w:r>
          </w:p>
        </w:tc>
      </w:tr>
    </w:tbl>
    <w:p>
      <w:pPr>
        <w:pStyle w:val="4"/>
        <w:rPr>
          <w:rFonts w:hint="eastAsia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8"/>
        <w:tblW w:w="5397" w:type="pct"/>
        <w:tblInd w:w="-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12"/>
        <w:gridCol w:w="25"/>
        <w:gridCol w:w="6258"/>
        <w:gridCol w:w="1"/>
        <w:gridCol w:w="2294"/>
        <w:gridCol w:w="1616"/>
        <w:gridCol w:w="901"/>
        <w:gridCol w:w="12"/>
        <w:gridCol w:w="974"/>
        <w:gridCol w:w="1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</w:t>
            </w:r>
          </w:p>
        </w:tc>
        <w:tc>
          <w:tcPr>
            <w:tcW w:w="204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重点工程</w:t>
            </w:r>
          </w:p>
        </w:tc>
        <w:tc>
          <w:tcPr>
            <w:tcW w:w="7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5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责任区域</w:t>
            </w:r>
          </w:p>
        </w:tc>
        <w:tc>
          <w:tcPr>
            <w:tcW w:w="93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5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4726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持续深入打好碧水保卫战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）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加强城镇入河污染排查治理</w:t>
            </w:r>
          </w:p>
        </w:tc>
        <w:tc>
          <w:tcPr>
            <w:tcW w:w="20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实施宁河区合流制片区改造，推进 12 片 1.67平方公里合流制地区改造。</w:t>
            </w:r>
          </w:p>
        </w:tc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水务局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区城管委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相关街镇</w:t>
            </w:r>
          </w:p>
        </w:tc>
        <w:tc>
          <w:tcPr>
            <w:tcW w:w="2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启动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0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展城市老旧排水管网改造工程，对服役时间较长的老旧排水管道改造修复，恢复管道功能。优化初期雨水调度措施，完善排水泵站、口门、调蓄池调度管理，汛期中小雨污水系统代排初期雨水，尽量不排入一、二级河道，并加强雨后河道水循环调度。</w:t>
            </w:r>
          </w:p>
        </w:tc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水务局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相关街镇</w:t>
            </w:r>
          </w:p>
        </w:tc>
        <w:tc>
          <w:tcPr>
            <w:tcW w:w="2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推进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bidi="ar"/>
              </w:rPr>
              <w:t>推进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32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（八）加强农业农村面源污染治理</w:t>
            </w:r>
          </w:p>
        </w:tc>
        <w:tc>
          <w:tcPr>
            <w:tcW w:w="20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开展蓟运河、潮白新河、永定新河等河流沿线农业污染源专项整治。摸排梳理河流沿线水产养殖户、农田退水，针对摸排出的问题及时采取措施，有效减少农业面源污染物入河。</w:t>
            </w:r>
          </w:p>
        </w:tc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生态环境局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区农业农村委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区水务局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相关街镇</w:t>
            </w:r>
          </w:p>
        </w:tc>
        <w:tc>
          <w:tcPr>
            <w:tcW w:w="2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完成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33</w:t>
            </w:r>
          </w:p>
        </w:tc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巩固提升农村生活污水治理成效，完善农村生活污水处理设施运维长效机制，到2025年农村生活污水治理率达到90%以上。</w:t>
            </w:r>
          </w:p>
        </w:tc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农业农村委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区水务局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区生态环境局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相关街镇</w:t>
            </w:r>
          </w:p>
        </w:tc>
        <w:tc>
          <w:tcPr>
            <w:tcW w:w="2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34</w:t>
            </w:r>
          </w:p>
        </w:tc>
        <w:tc>
          <w:tcPr>
            <w:tcW w:w="4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加强畜禽养殖资源化利用，巩固粪污治理工程成果，培育国家级水产健康养殖和生态养殖示范单位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，2025年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规模畜禽粪污处理设施配套率保持100%，畜禽粪污综合利用率90%以上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农业农村委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区生态环境局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相关街镇</w:t>
            </w:r>
          </w:p>
        </w:tc>
        <w:tc>
          <w:tcPr>
            <w:tcW w:w="2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35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（八）加强农业农村面源污染治理</w:t>
            </w:r>
          </w:p>
        </w:tc>
        <w:tc>
          <w:tcPr>
            <w:tcW w:w="2053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序推进农村黑臭水体治理，以控源截污为根本，采取工程或管理措施，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统筹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源治理，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加强河湖长日常巡查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2023年累计完成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农村黑臭水体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治理14条、2024年、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完成市级下达任务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农村黑臭水体基本消除，</w:t>
            </w:r>
            <w:r>
              <w:rPr>
                <w:rFonts w:hint="eastAsia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长效管控机制，动态排查动态消除，防止返黑返臭。</w:t>
            </w:r>
          </w:p>
        </w:tc>
        <w:tc>
          <w:tcPr>
            <w:tcW w:w="7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区农业农村委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相关街镇</w:t>
            </w:r>
          </w:p>
        </w:tc>
        <w:tc>
          <w:tcPr>
            <w:tcW w:w="2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完成</w:t>
            </w:r>
          </w:p>
        </w:tc>
      </w:tr>
    </w:tbl>
    <w:p>
      <w:pPr>
        <w:pStyle w:val="4"/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8"/>
        <w:tblW w:w="5397" w:type="pct"/>
        <w:tblInd w:w="-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12"/>
        <w:gridCol w:w="25"/>
        <w:gridCol w:w="6257"/>
        <w:gridCol w:w="2"/>
        <w:gridCol w:w="2646"/>
        <w:gridCol w:w="1262"/>
        <w:gridCol w:w="13"/>
        <w:gridCol w:w="890"/>
        <w:gridCol w:w="10"/>
        <w:gridCol w:w="975"/>
        <w:gridCol w:w="2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</w:t>
            </w:r>
          </w:p>
        </w:tc>
        <w:tc>
          <w:tcPr>
            <w:tcW w:w="204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重点工程</w:t>
            </w:r>
          </w:p>
        </w:tc>
        <w:tc>
          <w:tcPr>
            <w:tcW w:w="8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</w:t>
            </w:r>
          </w:p>
        </w:tc>
        <w:tc>
          <w:tcPr>
            <w:tcW w:w="9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5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472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持续深入打好净土保卫战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）强化土壤污染源头防控</w:t>
            </w:r>
          </w:p>
        </w:tc>
        <w:tc>
          <w:tcPr>
            <w:tcW w:w="205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开展土壤污染重点监管单位隐患排查整改，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2025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年前完成一轮金属表面处理等重点行业重点企业土壤隐患排查、整改和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回头看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”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生态环境局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相关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启动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46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5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分类实施地下水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水质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巩固提升行动，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highlight w:val="none"/>
                <w:u w:val="none"/>
                <w:lang w:bidi="ar"/>
              </w:rPr>
              <w:t>2023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 w:bidi="ar"/>
              </w:rPr>
              <w:t>完成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划定地下水污染防治重点区。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 w:bidi="ar"/>
              </w:rPr>
              <w:t>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生态环境局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 w:bidi="ar"/>
              </w:rPr>
              <w:t>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水务局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规划资源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宁河分局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 w:bidi="ar"/>
              </w:rPr>
              <w:t>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highlight w:val="none"/>
                <w:u w:val="none"/>
                <w:lang w:bidi="ar"/>
              </w:rPr>
              <w:t>完成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highlight w:val="none"/>
                <w:u w:val="none"/>
                <w:lang w:bidi="ar"/>
              </w:rPr>
              <w:t>完成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highlight w:val="none"/>
                <w:u w:val="none"/>
                <w:lang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）强化农用地和建设用地土壤安全利用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系统开展土壤污染状况调查评估，开展重点建设用地安全利用率核算，有效保障重点建设用地安全利用。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 w:bidi="ar"/>
              </w:rPr>
              <w:t>区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生态环境局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规划资源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宁河分局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highlight w:val="none"/>
                <w:lang w:eastAsia="zh-CN" w:bidi="ar"/>
              </w:rPr>
              <w:t>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推进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以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highlight w:val="none"/>
                <w:lang w:bidi="ar"/>
              </w:rPr>
              <w:t>个高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风险关闭搬迁企业优先监管地块为基数，分阶段开展重点监测和调查，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2023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年完成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35%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2024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年完成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75%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2025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年完成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100%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，实施动态更新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动态管控。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生态环境局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相关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街镇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4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稳妥有序推进建设用地污染土壤修复治理。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生态环境局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宁河分局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启动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（十一）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创新土壤污染管控修复治理实践</w:t>
            </w:r>
          </w:p>
        </w:tc>
        <w:tc>
          <w:tcPr>
            <w:tcW w:w="20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充分考虑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none"/>
                <w:lang w:eastAsia="zh-CN" w:bidi="ar"/>
              </w:rPr>
              <w:t>土壤污染情况和风险水平，结合留白增绿相关安排，因地制宜规划污染地块土地用途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u w:val="none"/>
                <w:lang w:bidi="ar"/>
              </w:rPr>
              <w:t>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宁河分局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启动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0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 w:bidi="ar"/>
              </w:rPr>
              <w:t>开展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u w:val="none"/>
                <w:lang w:bidi="ar"/>
              </w:rPr>
              <w:t>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lang w:bidi="ar"/>
              </w:rPr>
              <w:t>环境修复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u w:val="none"/>
                <w:lang w:bidi="ar"/>
              </w:rPr>
              <w:t>+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lang w:bidi="ar"/>
              </w:rPr>
              <w:t>开发建设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  <w:u w:val="none"/>
                <w:lang w:bidi="ar"/>
              </w:rPr>
              <w:t>”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u w:val="none"/>
                <w:lang w:eastAsia="zh-CN" w:bidi="ar"/>
              </w:rPr>
              <w:t>出让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lang w:bidi="ar"/>
              </w:rPr>
              <w:t>模式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 w:bidi="ar"/>
              </w:rPr>
              <w:t>创新实践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统筹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开发建设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环境修复时序，有效衔接地块规划建设与土壤修复工程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规划资源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宁河分局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生态环境局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区住建委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财政局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启动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20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按照市级安排探索推进重点行业在产企业“边生产边管控”，加强在产企业土壤风险管控。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生态环境局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各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启动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推进</w:t>
            </w:r>
          </w:p>
        </w:tc>
      </w:tr>
    </w:tbl>
    <w:p>
      <w:pPr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8"/>
        <w:tblW w:w="5397" w:type="pct"/>
        <w:tblInd w:w="-5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292"/>
        <w:gridCol w:w="23"/>
        <w:gridCol w:w="5728"/>
        <w:gridCol w:w="1"/>
        <w:gridCol w:w="2421"/>
        <w:gridCol w:w="1155"/>
        <w:gridCol w:w="11"/>
        <w:gridCol w:w="815"/>
        <w:gridCol w:w="9"/>
        <w:gridCol w:w="892"/>
        <w:gridCol w:w="1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</w:trPr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</w:t>
            </w:r>
          </w:p>
        </w:tc>
        <w:tc>
          <w:tcPr>
            <w:tcW w:w="204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重点工程</w:t>
            </w:r>
          </w:p>
        </w:tc>
        <w:tc>
          <w:tcPr>
            <w:tcW w:w="8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</w:t>
            </w:r>
          </w:p>
        </w:tc>
        <w:tc>
          <w:tcPr>
            <w:tcW w:w="9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进度安排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27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9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45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3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472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" w:eastAsia="zh-CN" w:bidi="ar"/>
              </w:rPr>
              <w:t>持续深入打好七里海湿地提升攻坚战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（十二）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七里海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湿地生态保护修复</w:t>
            </w:r>
          </w:p>
        </w:tc>
        <w:tc>
          <w:tcPr>
            <w:tcW w:w="20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全面加强七里海湿地保护和修复力度。严格落实《天津区湿地自然保护区规划（2017-2025年）》《七里海湿地生态保护修复规划》等“1+4”规划，开展天然湿地修复。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七里海管委会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区林业局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推进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推进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（十三）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推进七里海自然保护区生物多样性监测体系建设</w:t>
            </w:r>
          </w:p>
        </w:tc>
        <w:tc>
          <w:tcPr>
            <w:tcW w:w="20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完成核心区部分沟渠开挖疏浚及苇地平整，秋冬苇草轮割清运；核心区水域鱼类调查与监测；聘请临时管护人员开展核心区环境维护清理；印发宣传教育材料，购置消防设备。</w:t>
            </w:r>
          </w:p>
        </w:tc>
        <w:tc>
          <w:tcPr>
            <w:tcW w:w="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七里海管委会</w:t>
            </w:r>
          </w:p>
        </w:tc>
        <w:tc>
          <w:tcPr>
            <w:tcW w:w="4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有关镇街园区</w:t>
            </w:r>
          </w:p>
        </w:tc>
        <w:tc>
          <w:tcPr>
            <w:tcW w:w="2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 w:bidi="ar"/>
              </w:rPr>
              <w:t>完成</w:t>
            </w:r>
          </w:p>
        </w:tc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/>
                <w:lang w:eastAsia="zh-CN" w:bidi="ar"/>
              </w:rPr>
              <w:t>—</w:t>
            </w: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—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Cb3s5twBAADA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Y2IyOTY4ZjgwYjFmZWY5ZTkyN2Q2MWExYWVjNjIifQ=="/>
  </w:docVars>
  <w:rsids>
    <w:rsidRoot w:val="ABED7ABB"/>
    <w:rsid w:val="01A06E9D"/>
    <w:rsid w:val="027C3C34"/>
    <w:rsid w:val="04904FA7"/>
    <w:rsid w:val="055EFDA1"/>
    <w:rsid w:val="056F1060"/>
    <w:rsid w:val="0E3A41D5"/>
    <w:rsid w:val="116C70D2"/>
    <w:rsid w:val="132B7955"/>
    <w:rsid w:val="198D2C7C"/>
    <w:rsid w:val="1B284903"/>
    <w:rsid w:val="1FF830DF"/>
    <w:rsid w:val="20D64FCC"/>
    <w:rsid w:val="22CA37E5"/>
    <w:rsid w:val="2EB07E70"/>
    <w:rsid w:val="324441EF"/>
    <w:rsid w:val="3703520D"/>
    <w:rsid w:val="373AA449"/>
    <w:rsid w:val="37FF3E83"/>
    <w:rsid w:val="38BD5663"/>
    <w:rsid w:val="3B0F4170"/>
    <w:rsid w:val="3F397A0D"/>
    <w:rsid w:val="41B33AA7"/>
    <w:rsid w:val="47E90CDD"/>
    <w:rsid w:val="49C820BA"/>
    <w:rsid w:val="4E37780E"/>
    <w:rsid w:val="537072E7"/>
    <w:rsid w:val="5BEAC3F5"/>
    <w:rsid w:val="5C83736F"/>
    <w:rsid w:val="5E771FC7"/>
    <w:rsid w:val="5FD76366"/>
    <w:rsid w:val="60CC19D1"/>
    <w:rsid w:val="62C531E2"/>
    <w:rsid w:val="63513261"/>
    <w:rsid w:val="64BFA266"/>
    <w:rsid w:val="64EA65BF"/>
    <w:rsid w:val="65A840EC"/>
    <w:rsid w:val="66B31BC3"/>
    <w:rsid w:val="67FEC597"/>
    <w:rsid w:val="69AE2C22"/>
    <w:rsid w:val="6BBD714D"/>
    <w:rsid w:val="6CAF94E1"/>
    <w:rsid w:val="6CF771F1"/>
    <w:rsid w:val="6EF9DB0E"/>
    <w:rsid w:val="6FE6CDA2"/>
    <w:rsid w:val="6FFB2C3A"/>
    <w:rsid w:val="6FFF635A"/>
    <w:rsid w:val="79203800"/>
    <w:rsid w:val="7B17BA7D"/>
    <w:rsid w:val="7CD7FEAB"/>
    <w:rsid w:val="7DEC3DB7"/>
    <w:rsid w:val="7EE74BF9"/>
    <w:rsid w:val="7F1BB3C1"/>
    <w:rsid w:val="7F767DB5"/>
    <w:rsid w:val="7FAECD3B"/>
    <w:rsid w:val="7FEE13F2"/>
    <w:rsid w:val="7FF21C19"/>
    <w:rsid w:val="7FF73FA0"/>
    <w:rsid w:val="7FFB050A"/>
    <w:rsid w:val="7FFD89F3"/>
    <w:rsid w:val="8BFFC54F"/>
    <w:rsid w:val="ABED7ABB"/>
    <w:rsid w:val="AFF7EC7B"/>
    <w:rsid w:val="BFBAC234"/>
    <w:rsid w:val="CEBF162A"/>
    <w:rsid w:val="D2FFCC4D"/>
    <w:rsid w:val="D4372835"/>
    <w:rsid w:val="DFBBCEEB"/>
    <w:rsid w:val="F27918D4"/>
    <w:rsid w:val="FD6F9C10"/>
    <w:rsid w:val="FDB75DD3"/>
    <w:rsid w:val="FDBFF725"/>
    <w:rsid w:val="FFB539AF"/>
    <w:rsid w:val="FF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Calibri" w:eastAsia="仿宋_GB2312" w:cs="Times New Roman"/>
      <w:color w:val="000000"/>
      <w:sz w:val="24"/>
      <w:szCs w:val="24"/>
      <w:lang w:val="en-US" w:eastAsia="zh-C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1"/>
    <w:qFormat/>
    <w:uiPriority w:val="99"/>
    <w:rPr>
      <w:rFonts w:eastAsia="文星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qFormat/>
    <w:uiPriority w:val="10"/>
    <w:pPr>
      <w:adjustRightInd w:val="0"/>
      <w:snapToGrid w:val="0"/>
      <w:ind w:firstLine="0" w:firstLineChars="0"/>
      <w:jc w:val="center"/>
      <w:outlineLvl w:val="0"/>
    </w:pPr>
    <w:rPr>
      <w:rFonts w:ascii="Calibri Light" w:hAnsi="Calibri Light" w:eastAsia="方正小标宋简体" w:cs="Times New Roman"/>
      <w:bCs/>
      <w:sz w:val="44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2文字缩进"/>
    <w:basedOn w:val="1"/>
    <w:qFormat/>
    <w:uiPriority w:val="0"/>
    <w:pPr>
      <w:spacing w:line="240" w:lineRule="auto"/>
      <w:ind w:firstLine="0" w:firstLineChars="0"/>
    </w:pPr>
    <w:rPr>
      <w:rFonts w:ascii="Times New Roman" w:hAnsi="Times New Roman" w:cs="Times New Roman"/>
      <w:sz w:val="21"/>
      <w:lang w:eastAsia="ja-JP"/>
    </w:rPr>
  </w:style>
  <w:style w:type="paragraph" w:customStyle="1" w:styleId="12">
    <w:name w:val="正文1"/>
    <w:basedOn w:val="1"/>
    <w:next w:val="1"/>
    <w:qFormat/>
    <w:uiPriority w:val="0"/>
    <w:pPr>
      <w:autoSpaceDE w:val="0"/>
      <w:autoSpaceDN w:val="0"/>
      <w:adjustRightInd w:val="0"/>
      <w:spacing w:line="440" w:lineRule="atLeast"/>
    </w:pPr>
    <w:rPr>
      <w:rFonts w:ascii="仿宋_GB2312" w:hAnsi="Times New Roman" w:eastAsia="仿宋_GB2312" w:cs="Times New Roman"/>
      <w:sz w:val="28"/>
      <w:szCs w:val="20"/>
    </w:rPr>
  </w:style>
  <w:style w:type="paragraph" w:styleId="13">
    <w:name w:val="List Paragraph"/>
    <w:basedOn w:val="1"/>
    <w:qFormat/>
    <w:uiPriority w:val="99"/>
    <w:pPr>
      <w:ind w:firstLine="420"/>
    </w:pPr>
  </w:style>
  <w:style w:type="character" w:customStyle="1" w:styleId="14">
    <w:name w:val="font7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10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2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1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5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1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31"/>
    <w:qFormat/>
    <w:uiPriority w:val="0"/>
    <w:rPr>
      <w:rFonts w:hint="default" w:ascii="Times New Roman" w:hAnsi="Times New Roman" w:cs="Times New Roman"/>
      <w:strike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3844</Words>
  <Characters>4041</Characters>
  <Lines>0</Lines>
  <Paragraphs>0</Paragraphs>
  <TotalTime>16</TotalTime>
  <ScaleCrop>false</ScaleCrop>
  <LinksUpToDate>false</LinksUpToDate>
  <CharactersWithSpaces>4049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2021-07-07T15:44:00Z</dcterms:created>
  <dc:creator>admin</dc:creator>
  <cp:lastModifiedBy>Administrator</cp:lastModifiedBy>
  <cp:lastPrinted>2023-11-03T23:40:00Z</cp:lastPrinted>
  <dcterms:modified xsi:type="dcterms:W3CDTF">2023-11-14T09:17:23Z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FDAE5987175B4D0AA404D522D84A66A8_12</vt:lpwstr>
  </property>
</Properties>
</file>