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9F45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附件3</w:t>
      </w:r>
    </w:p>
    <w:p w14:paraId="749D67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Hans"/>
        </w:rPr>
      </w:pPr>
      <w:r>
        <w:rPr>
          <w:rFonts w:hint="default" w:ascii="Times New Roman" w:hAnsi="Times New Roman" w:eastAsia="方正小标宋简体" w:cs="Times New Roman"/>
          <w:b w:val="0"/>
          <w:bCs w:val="0"/>
          <w:sz w:val="44"/>
          <w:szCs w:val="44"/>
        </w:rPr>
        <w:t>宁河区2024</w:t>
      </w:r>
      <w:r>
        <w:rPr>
          <w:rFonts w:hint="default" w:ascii="Times New Roman" w:hAnsi="Times New Roman" w:eastAsia="方正小标宋简体" w:cs="Times New Roman"/>
          <w:b w:val="0"/>
          <w:bCs w:val="0"/>
          <w:sz w:val="44"/>
          <w:szCs w:val="44"/>
          <w:lang w:val="en-US" w:eastAsia="zh-Hans"/>
        </w:rPr>
        <w:t>年</w:t>
      </w:r>
      <w:r>
        <w:rPr>
          <w:rFonts w:hint="default" w:ascii="Times New Roman" w:hAnsi="Times New Roman" w:eastAsia="方正小标宋简体" w:cs="Times New Roman"/>
          <w:b w:val="0"/>
          <w:bCs w:val="0"/>
          <w:sz w:val="44"/>
          <w:szCs w:val="44"/>
        </w:rPr>
        <w:t>营商环境问题整改台账（</w:t>
      </w:r>
      <w:r>
        <w:rPr>
          <w:rFonts w:hint="default" w:ascii="Times New Roman" w:hAnsi="Times New Roman" w:eastAsia="方正小标宋简体" w:cs="Times New Roman"/>
          <w:b w:val="0"/>
          <w:bCs w:val="0"/>
          <w:sz w:val="44"/>
          <w:szCs w:val="44"/>
          <w:lang w:val="en-US" w:eastAsia="zh-Hans"/>
        </w:rPr>
        <w:t>第一批</w:t>
      </w:r>
      <w:r>
        <w:rPr>
          <w:rFonts w:hint="default" w:ascii="Times New Roman" w:hAnsi="Times New Roman" w:eastAsia="方正小标宋简体" w:cs="Times New Roman"/>
          <w:b w:val="0"/>
          <w:bCs w:val="0"/>
          <w:sz w:val="44"/>
          <w:szCs w:val="44"/>
          <w:lang w:eastAsia="zh-Hans"/>
        </w:rPr>
        <w:t>）</w:t>
      </w:r>
    </w:p>
    <w:tbl>
      <w:tblPr>
        <w:tblStyle w:val="15"/>
        <w:tblW w:w="12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1"/>
        <w:gridCol w:w="1201"/>
        <w:gridCol w:w="2000"/>
        <w:gridCol w:w="6450"/>
        <w:gridCol w:w="1020"/>
        <w:gridCol w:w="1367"/>
      </w:tblGrid>
      <w:tr w14:paraId="660F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blHeader/>
          <w:jc w:val="center"/>
        </w:trPr>
        <w:tc>
          <w:tcPr>
            <w:tcW w:w="571" w:type="dxa"/>
            <w:noWrap w:val="0"/>
            <w:vAlign w:val="center"/>
          </w:tcPr>
          <w:p w14:paraId="26ECC0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2"/>
                <w:sz w:val="21"/>
                <w:szCs w:val="21"/>
                <w:u w:val="none"/>
                <w:lang w:val="en" w:eastAsia="zh-CN" w:bidi="ar-SA"/>
              </w:rPr>
            </w:pPr>
            <w:r>
              <w:rPr>
                <w:rFonts w:hint="default" w:ascii="Times New Roman" w:hAnsi="Times New Roman" w:eastAsia="黑体" w:cs="Times New Roman"/>
                <w:b w:val="0"/>
                <w:bCs w:val="0"/>
                <w:i w:val="0"/>
                <w:color w:val="000000"/>
                <w:kern w:val="2"/>
                <w:sz w:val="21"/>
                <w:szCs w:val="21"/>
                <w:u w:val="none"/>
                <w:lang w:val="en" w:eastAsia="zh-CN" w:bidi="ar-SA"/>
              </w:rPr>
              <w:t>序号</w:t>
            </w:r>
          </w:p>
        </w:tc>
        <w:tc>
          <w:tcPr>
            <w:tcW w:w="1201" w:type="dxa"/>
            <w:noWrap w:val="0"/>
            <w:vAlign w:val="center"/>
          </w:tcPr>
          <w:p w14:paraId="569FA9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2"/>
                <w:sz w:val="21"/>
                <w:szCs w:val="21"/>
                <w:u w:val="none"/>
                <w:lang w:val="en-US" w:eastAsia="zh-CN" w:bidi="ar-SA"/>
              </w:rPr>
            </w:pPr>
            <w:r>
              <w:rPr>
                <w:rFonts w:hint="default" w:ascii="Times New Roman" w:hAnsi="Times New Roman" w:eastAsia="黑体" w:cs="Times New Roman"/>
                <w:b w:val="0"/>
                <w:bCs w:val="0"/>
                <w:i w:val="0"/>
                <w:color w:val="000000"/>
                <w:kern w:val="2"/>
                <w:sz w:val="21"/>
                <w:szCs w:val="21"/>
                <w:u w:val="none"/>
                <w:lang w:val="en-US" w:eastAsia="zh-CN" w:bidi="ar-SA"/>
              </w:rPr>
              <w:t>责任指标</w:t>
            </w:r>
          </w:p>
        </w:tc>
        <w:tc>
          <w:tcPr>
            <w:tcW w:w="2000" w:type="dxa"/>
            <w:noWrap w:val="0"/>
            <w:vAlign w:val="center"/>
          </w:tcPr>
          <w:p w14:paraId="5183712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2"/>
                <w:sz w:val="21"/>
                <w:szCs w:val="21"/>
                <w:u w:val="none"/>
                <w:lang w:val="en-US" w:eastAsia="zh-CN" w:bidi="ar-SA"/>
              </w:rPr>
            </w:pPr>
            <w:r>
              <w:rPr>
                <w:rFonts w:hint="default" w:ascii="Times New Roman" w:hAnsi="Times New Roman" w:eastAsia="黑体" w:cs="Times New Roman"/>
                <w:b w:val="0"/>
                <w:bCs w:val="0"/>
                <w:i w:val="0"/>
                <w:color w:val="000000"/>
                <w:kern w:val="2"/>
                <w:sz w:val="21"/>
                <w:szCs w:val="21"/>
                <w:u w:val="none"/>
                <w:lang w:val="en-US" w:eastAsia="zh-CN" w:bidi="ar-SA"/>
              </w:rPr>
              <w:t>存在问题</w:t>
            </w:r>
          </w:p>
        </w:tc>
        <w:tc>
          <w:tcPr>
            <w:tcW w:w="6450" w:type="dxa"/>
            <w:noWrap w:val="0"/>
            <w:vAlign w:val="center"/>
          </w:tcPr>
          <w:p w14:paraId="64A1C7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2"/>
                <w:sz w:val="21"/>
                <w:szCs w:val="21"/>
                <w:u w:val="none"/>
                <w:lang w:val="en-US" w:eastAsia="zh-CN" w:bidi="ar-SA"/>
              </w:rPr>
            </w:pPr>
            <w:r>
              <w:rPr>
                <w:rFonts w:hint="default" w:ascii="Times New Roman" w:hAnsi="Times New Roman" w:eastAsia="黑体" w:cs="Times New Roman"/>
                <w:b w:val="0"/>
                <w:bCs w:val="0"/>
                <w:i w:val="0"/>
                <w:color w:val="000000"/>
                <w:kern w:val="2"/>
                <w:sz w:val="21"/>
                <w:szCs w:val="21"/>
                <w:u w:val="none"/>
                <w:lang w:val="en-US" w:eastAsia="zh-CN" w:bidi="ar-SA"/>
              </w:rPr>
              <w:t>整改举措</w:t>
            </w:r>
          </w:p>
        </w:tc>
        <w:tc>
          <w:tcPr>
            <w:tcW w:w="1020" w:type="dxa"/>
            <w:noWrap w:val="0"/>
            <w:vAlign w:val="center"/>
          </w:tcPr>
          <w:p w14:paraId="3C3F93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2"/>
                <w:sz w:val="21"/>
                <w:szCs w:val="21"/>
                <w:u w:val="none"/>
                <w:lang w:val="en-US" w:eastAsia="zh-CN" w:bidi="ar-SA"/>
              </w:rPr>
            </w:pPr>
            <w:r>
              <w:rPr>
                <w:rFonts w:hint="default" w:ascii="Times New Roman" w:hAnsi="Times New Roman" w:eastAsia="黑体" w:cs="Times New Roman"/>
                <w:b w:val="0"/>
                <w:bCs w:val="0"/>
                <w:i w:val="0"/>
                <w:color w:val="000000"/>
                <w:kern w:val="0"/>
                <w:sz w:val="21"/>
                <w:szCs w:val="21"/>
                <w:u w:val="none"/>
                <w:lang w:val="en-US" w:eastAsia="zh-CN" w:bidi="ar"/>
              </w:rPr>
              <w:t>整改时限</w:t>
            </w:r>
          </w:p>
        </w:tc>
        <w:tc>
          <w:tcPr>
            <w:tcW w:w="1367" w:type="dxa"/>
            <w:noWrap w:val="0"/>
            <w:vAlign w:val="center"/>
          </w:tcPr>
          <w:p w14:paraId="41CCC7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2"/>
                <w:sz w:val="21"/>
                <w:szCs w:val="21"/>
                <w:u w:val="none"/>
                <w:lang w:val="en-US" w:eastAsia="zh-CN" w:bidi="ar-SA"/>
              </w:rPr>
            </w:pPr>
            <w:r>
              <w:rPr>
                <w:rFonts w:hint="default" w:ascii="Times New Roman" w:hAnsi="Times New Roman" w:eastAsia="黑体" w:cs="Times New Roman"/>
                <w:b w:val="0"/>
                <w:bCs w:val="0"/>
                <w:i w:val="0"/>
                <w:color w:val="000000"/>
                <w:kern w:val="0"/>
                <w:sz w:val="21"/>
                <w:szCs w:val="21"/>
                <w:u w:val="none"/>
                <w:lang w:val="en-US" w:eastAsia="zh-CN" w:bidi="ar"/>
              </w:rPr>
              <w:t>责任部门</w:t>
            </w:r>
          </w:p>
        </w:tc>
      </w:tr>
      <w:tr w14:paraId="6E37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6" w:hRule="atLeast"/>
          <w:jc w:val="center"/>
        </w:trPr>
        <w:tc>
          <w:tcPr>
            <w:tcW w:w="571" w:type="dxa"/>
            <w:noWrap w:val="0"/>
            <w:vAlign w:val="center"/>
          </w:tcPr>
          <w:p w14:paraId="12B180A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w:t>
            </w:r>
          </w:p>
        </w:tc>
        <w:tc>
          <w:tcPr>
            <w:tcW w:w="1201" w:type="dxa"/>
            <w:noWrap w:val="0"/>
            <w:vAlign w:val="center"/>
          </w:tcPr>
          <w:p w14:paraId="7263289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r>
              <w:rPr>
                <w:rFonts w:hint="default" w:ascii="Times New Roman" w:hAnsi="Times New Roman" w:eastAsia="仿宋_GB2312" w:cs="Times New Roman"/>
                <w:b w:val="0"/>
                <w:bCs w:val="0"/>
                <w:sz w:val="21"/>
                <w:szCs w:val="21"/>
                <w:lang w:val="en-US" w:eastAsia="zh-CN"/>
              </w:rPr>
              <w:t>用地保障及成本</w:t>
            </w:r>
          </w:p>
        </w:tc>
        <w:tc>
          <w:tcPr>
            <w:tcW w:w="2000" w:type="dxa"/>
            <w:noWrap w:val="0"/>
            <w:vAlign w:val="center"/>
          </w:tcPr>
          <w:p w14:paraId="11FEFFF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走访街镇、园区企业力度不够，实地勘察地块不细致，提前服务、主动服务意识不强。</w:t>
            </w:r>
          </w:p>
        </w:tc>
        <w:tc>
          <w:tcPr>
            <w:tcW w:w="6450" w:type="dxa"/>
            <w:noWrap w:val="0"/>
            <w:vAlign w:val="center"/>
          </w:tcPr>
          <w:p w14:paraId="3388662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4月底前，区土整中心对接走访北京金隅、元通置业、友联地产、东昊集团等10家企业，推介2024年优质地块。9月底前，会同土地出让专班对接回访天津金隅地产、歌山建设、华北集团、中集等15家企业，及时跟进各个项目进展。</w:t>
            </w:r>
          </w:p>
          <w:p w14:paraId="6C1DD75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②4月底前，会同有关街镇、园区，完成对重点待出让的城区荣亨地块、大北产业园孵化器地块、现代产业区800亩商住区域等30宗土地的实地勘察。</w:t>
            </w:r>
          </w:p>
          <w:p w14:paraId="57712A22">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③10月底前，完成32宗储备地块实地勘察。对于土地整理中心管理的储备地块，安排专人每周巡查，实时了解地块情况，建立地块巡查台账。</w:t>
            </w:r>
          </w:p>
          <w:p w14:paraId="7DBD095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④对于委托管理的地块，每月与属地街镇、园区对接并实地勘察，了解地块实际情况，为企业供地做好准备。</w:t>
            </w:r>
          </w:p>
        </w:tc>
        <w:tc>
          <w:tcPr>
            <w:tcW w:w="1020" w:type="dxa"/>
            <w:noWrap w:val="0"/>
            <w:vAlign w:val="center"/>
          </w:tcPr>
          <w:p w14:paraId="160EDC2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52EBA1D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3942530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区土整中心</w:t>
            </w:r>
          </w:p>
        </w:tc>
      </w:tr>
      <w:tr w14:paraId="180B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571" w:type="dxa"/>
            <w:noWrap w:val="0"/>
            <w:vAlign w:val="center"/>
          </w:tcPr>
          <w:p w14:paraId="42498267">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val="en-US" w:eastAsia="zh-CN"/>
              </w:rPr>
              <w:t>2</w:t>
            </w:r>
          </w:p>
        </w:tc>
        <w:tc>
          <w:tcPr>
            <w:tcW w:w="1201" w:type="dxa"/>
            <w:noWrap w:val="0"/>
            <w:vAlign w:val="center"/>
          </w:tcPr>
          <w:p w14:paraId="4E5C8BC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企业诉求和问题的解决情况</w:t>
            </w:r>
          </w:p>
        </w:tc>
        <w:tc>
          <w:tcPr>
            <w:tcW w:w="2000" w:type="dxa"/>
            <w:noWrap w:val="0"/>
            <w:vAlign w:val="center"/>
          </w:tcPr>
          <w:p w14:paraId="718BC4B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与民营企业沟通衔接还不够通畅，部分单位重视程度不够高。</w:t>
            </w:r>
          </w:p>
        </w:tc>
        <w:tc>
          <w:tcPr>
            <w:tcW w:w="6450" w:type="dxa"/>
            <w:noWrap w:val="0"/>
            <w:vAlign w:val="center"/>
          </w:tcPr>
          <w:p w14:paraId="4FC9F40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①通过召开企业家座谈会等形式，每季度与民营经济人士开展1次座谈交流，坚持每月1次深入民营企业实地走访调研，了解企业需求。</w:t>
            </w:r>
          </w:p>
          <w:p w14:paraId="5F74C6C5">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②建立1个“暖企总站”，指挥协调区有关单位充分发挥自身优势帮助民企解决难题。</w:t>
            </w:r>
          </w:p>
          <w:p w14:paraId="4FEBDD1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③建立1个“暖企云”线上服务平台，打造线上线下互为补充、共为一体的“云端服务”。</w:t>
            </w:r>
          </w:p>
          <w:p w14:paraId="696F684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④邀请企业家列席专题情况通报会、征求意见座谈会，及时向民营企业家通报重要会议精神，宁河区经济社会发展情况、重大战略部署举措等相关情况.</w:t>
            </w:r>
          </w:p>
        </w:tc>
        <w:tc>
          <w:tcPr>
            <w:tcW w:w="1020" w:type="dxa"/>
            <w:noWrap w:val="0"/>
            <w:vAlign w:val="center"/>
          </w:tcPr>
          <w:p w14:paraId="1A60B71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3A4893B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8月底前</w:t>
            </w:r>
          </w:p>
        </w:tc>
        <w:tc>
          <w:tcPr>
            <w:tcW w:w="1367" w:type="dxa"/>
            <w:noWrap w:val="0"/>
            <w:vAlign w:val="center"/>
          </w:tcPr>
          <w:p w14:paraId="63A9D6E0">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区工商联</w:t>
            </w:r>
          </w:p>
        </w:tc>
      </w:tr>
      <w:tr w14:paraId="5CB6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0" w:hRule="atLeast"/>
          <w:jc w:val="center"/>
        </w:trPr>
        <w:tc>
          <w:tcPr>
            <w:tcW w:w="571" w:type="dxa"/>
            <w:vMerge w:val="restart"/>
            <w:noWrap w:val="0"/>
            <w:vAlign w:val="center"/>
          </w:tcPr>
          <w:p w14:paraId="64493AD0">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3</w:t>
            </w:r>
          </w:p>
        </w:tc>
        <w:tc>
          <w:tcPr>
            <w:tcW w:w="1201" w:type="dxa"/>
            <w:vMerge w:val="restart"/>
            <w:noWrap w:val="0"/>
            <w:vAlign w:val="center"/>
          </w:tcPr>
          <w:p w14:paraId="52CBBC0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政府处理企业与员工劳动纠纷的效果</w:t>
            </w:r>
          </w:p>
        </w:tc>
        <w:tc>
          <w:tcPr>
            <w:tcW w:w="2000" w:type="dxa"/>
            <w:noWrap w:val="0"/>
            <w:vAlign w:val="center"/>
          </w:tcPr>
          <w:p w14:paraId="18CB2BF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①在企业裁员合规性监督方面，未出台本区域相关机制或方案体现常态化的监督与跟踪机制。</w:t>
            </w:r>
          </w:p>
        </w:tc>
        <w:tc>
          <w:tcPr>
            <w:tcW w:w="6450" w:type="dxa"/>
            <w:noWrap w:val="0"/>
            <w:vAlign w:val="center"/>
          </w:tcPr>
          <w:p w14:paraId="15FB0EC8">
            <w:pPr>
              <w:keepNext w:val="0"/>
              <w:keepLines w:val="0"/>
              <w:pageBreakBefore w:val="0"/>
              <w:kinsoku/>
              <w:wordWrap/>
              <w:overflowPunct/>
              <w:topLinePunct w:val="0"/>
              <w:autoSpaceDE/>
              <w:autoSpaceDN/>
              <w:bidi w:val="0"/>
              <w:adjustRightInd/>
              <w:snapToGrid/>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制定《宁河区企业规模裁员实施方案》，包括企业规模裁员申报办理流程、企业裁员工作方案、用人单位裁减人员情况报告表、向人社部门报告企业裁员情况的说明、建立重点关注企业清单并定期更新等方面，落实属地责任，加强源头治理，做好风险排查摸底，动态掌握劳动关系状况，妥善应对和处理排查发现的风险隐患。</w:t>
            </w:r>
          </w:p>
        </w:tc>
        <w:tc>
          <w:tcPr>
            <w:tcW w:w="1020" w:type="dxa"/>
            <w:vMerge w:val="restart"/>
            <w:noWrap w:val="0"/>
            <w:vAlign w:val="center"/>
          </w:tcPr>
          <w:p w14:paraId="1859B94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757A1C5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12月底前</w:t>
            </w:r>
          </w:p>
        </w:tc>
        <w:tc>
          <w:tcPr>
            <w:tcW w:w="1367" w:type="dxa"/>
            <w:vMerge w:val="restart"/>
            <w:noWrap w:val="0"/>
            <w:vAlign w:val="center"/>
          </w:tcPr>
          <w:p w14:paraId="05B458B4">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区人社局</w:t>
            </w:r>
          </w:p>
        </w:tc>
      </w:tr>
      <w:tr w14:paraId="25B9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571" w:type="dxa"/>
            <w:vMerge w:val="continue"/>
            <w:noWrap w:val="0"/>
            <w:vAlign w:val="center"/>
          </w:tcPr>
          <w:p w14:paraId="02FAA03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rPr>
            </w:pPr>
          </w:p>
        </w:tc>
        <w:tc>
          <w:tcPr>
            <w:tcW w:w="1201" w:type="dxa"/>
            <w:vMerge w:val="continue"/>
            <w:noWrap w:val="0"/>
            <w:vAlign w:val="center"/>
          </w:tcPr>
          <w:p w14:paraId="448D8EE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p>
        </w:tc>
        <w:tc>
          <w:tcPr>
            <w:tcW w:w="2000" w:type="dxa"/>
            <w:noWrap w:val="0"/>
            <w:vAlign w:val="center"/>
          </w:tcPr>
          <w:p w14:paraId="3F8434D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②未提供本区域详细的涉及特殊工时监管监督检查实施方案。</w:t>
            </w:r>
          </w:p>
        </w:tc>
        <w:tc>
          <w:tcPr>
            <w:tcW w:w="6450" w:type="dxa"/>
            <w:noWrap w:val="0"/>
            <w:vAlign w:val="center"/>
          </w:tcPr>
          <w:p w14:paraId="1D0C1305">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制定《宁河区特殊工时监管实施方案》，及时向行政审批部门了解企业特殊工时的审批情况，加强事后监管，从辖区内实行特殊工时工作制用人单位中，随机抽取30%以上的用人单位进行监督检查，查阅或者要求用人单位报送有关材料。对用人单位隐瞒有关情况、提供虚假或者拒绝提供反映其活动情况真实材料的，区人社行政部门依法处理。</w:t>
            </w:r>
          </w:p>
        </w:tc>
        <w:tc>
          <w:tcPr>
            <w:tcW w:w="1020" w:type="dxa"/>
            <w:vMerge w:val="continue"/>
            <w:noWrap w:val="0"/>
            <w:vAlign w:val="center"/>
          </w:tcPr>
          <w:p w14:paraId="72FE5569">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71EB7DD9">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3121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2" w:hRule="atLeast"/>
          <w:jc w:val="center"/>
        </w:trPr>
        <w:tc>
          <w:tcPr>
            <w:tcW w:w="571" w:type="dxa"/>
            <w:vMerge w:val="continue"/>
            <w:noWrap w:val="0"/>
            <w:vAlign w:val="center"/>
          </w:tcPr>
          <w:p w14:paraId="157FFEB4">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201" w:type="dxa"/>
            <w:vMerge w:val="continue"/>
            <w:noWrap w:val="0"/>
            <w:vAlign w:val="center"/>
          </w:tcPr>
          <w:p w14:paraId="1A3E114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2000" w:type="dxa"/>
            <w:noWrap w:val="0"/>
            <w:vAlign w:val="center"/>
          </w:tcPr>
          <w:p w14:paraId="507CF2B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③2021年12月11日至2022年12月10日，本区域劳动人事争议调解成功率虽高于62%，但仍低于全市平均水平，争议调处质效仍需进一步提升。</w:t>
            </w:r>
          </w:p>
        </w:tc>
        <w:tc>
          <w:tcPr>
            <w:tcW w:w="6450" w:type="dxa"/>
            <w:noWrap w:val="0"/>
            <w:vAlign w:val="center"/>
          </w:tcPr>
          <w:p w14:paraId="0EB445B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①制定调解工作实施方案，健全完善具有本区特色的全过程、全链条劳动人事争议预防化解机制。建立区级标准化调解组织，成立品牌调解室，推行特色调解工作法，实现争议纠纷“就近调解”。</w:t>
            </w:r>
          </w:p>
          <w:p w14:paraId="34B2CD5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加强对调解员的管理，及时更新调解员名册，对取得调解员证书的人员每年进行注册，并对取证人员进行业务技能提升培训。推动新就业形态劳动纠纷一体化解，对现有的劳动人事争议，联合调解室进行赋能拓展并开展新就业形态劳动纠纷一站式调解。</w:t>
            </w:r>
          </w:p>
        </w:tc>
        <w:tc>
          <w:tcPr>
            <w:tcW w:w="1020" w:type="dxa"/>
            <w:vMerge w:val="continue"/>
            <w:noWrap w:val="0"/>
            <w:vAlign w:val="center"/>
          </w:tcPr>
          <w:p w14:paraId="1C6CCE50">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54ED044B">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4388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0" w:hRule="atLeast"/>
          <w:jc w:val="center"/>
        </w:trPr>
        <w:tc>
          <w:tcPr>
            <w:tcW w:w="571" w:type="dxa"/>
            <w:noWrap w:val="0"/>
            <w:vAlign w:val="center"/>
          </w:tcPr>
          <w:p w14:paraId="44EE2EC2">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4</w:t>
            </w:r>
          </w:p>
        </w:tc>
        <w:tc>
          <w:tcPr>
            <w:tcW w:w="1201" w:type="dxa"/>
            <w:noWrap w:val="0"/>
            <w:vAlign w:val="center"/>
          </w:tcPr>
          <w:p w14:paraId="7A4A8D1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企业诉求和问题的解决情况</w:t>
            </w:r>
          </w:p>
        </w:tc>
        <w:tc>
          <w:tcPr>
            <w:tcW w:w="2000" w:type="dxa"/>
            <w:noWrap w:val="0"/>
            <w:vAlign w:val="center"/>
          </w:tcPr>
          <w:p w14:paraId="4798833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企业主动反馈问题的意愿不高。</w:t>
            </w:r>
          </w:p>
        </w:tc>
        <w:tc>
          <w:tcPr>
            <w:tcW w:w="6450" w:type="dxa"/>
            <w:noWrap w:val="0"/>
            <w:vAlign w:val="center"/>
          </w:tcPr>
          <w:p w14:paraId="6AC00352">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①建立政企沟通机制，组织全区各部门、各街镇园区原则上每季度至少走访服务包联企业1次，收集企业生产经营存在的困难和问题。</w:t>
            </w:r>
          </w:p>
          <w:p w14:paraId="76072E50">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②深入开展“双万双服促发展”活动，严格按照3日内分配、7日内回复的要求办理服务平台企业问题，并于7日内了解企业评价情况，形成工作闭环。</w:t>
            </w:r>
          </w:p>
        </w:tc>
        <w:tc>
          <w:tcPr>
            <w:tcW w:w="1020" w:type="dxa"/>
            <w:noWrap w:val="0"/>
            <w:vAlign w:val="center"/>
          </w:tcPr>
          <w:p w14:paraId="757C79F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3FADB8E0">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31F8A083">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区发改委</w:t>
            </w:r>
          </w:p>
        </w:tc>
      </w:tr>
      <w:tr w14:paraId="6435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571" w:type="dxa"/>
            <w:noWrap w:val="0"/>
            <w:vAlign w:val="center"/>
          </w:tcPr>
          <w:p w14:paraId="6491AA5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5</w:t>
            </w:r>
          </w:p>
        </w:tc>
        <w:tc>
          <w:tcPr>
            <w:tcW w:w="1201" w:type="dxa"/>
            <w:noWrap w:val="0"/>
            <w:vAlign w:val="center"/>
          </w:tcPr>
          <w:p w14:paraId="0AF55282">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政府工作人员与企业交往规范性</w:t>
            </w:r>
          </w:p>
        </w:tc>
        <w:tc>
          <w:tcPr>
            <w:tcW w:w="2000" w:type="dxa"/>
            <w:noWrap w:val="0"/>
            <w:vAlign w:val="center"/>
          </w:tcPr>
          <w:p w14:paraId="280A3B7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个别政府工作人员在与企业交往过程中存在主动服务企业意识不强的问题。</w:t>
            </w:r>
          </w:p>
        </w:tc>
        <w:tc>
          <w:tcPr>
            <w:tcW w:w="6450" w:type="dxa"/>
            <w:noWrap w:val="0"/>
            <w:vAlign w:val="center"/>
          </w:tcPr>
          <w:p w14:paraId="14B9144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520AD78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畅通信访举报、线索处置的“绿色通道”，对主动服务企业意识不强的单位及个人快查快办。对在服务企业过程中不积极不主动、消极应付、吃拿卡要以及影响我区营商环境建设的行为依规依纪严肃处理，并对典型问题公开通报曝光，形成有力震慑。</w:t>
            </w:r>
          </w:p>
          <w:p w14:paraId="773983A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②研究制定关于服务保障民营经济发展助力优化营商环境方面制度，通过建章立制督促相关责任主体认真履行服务企业职责。</w:t>
            </w:r>
          </w:p>
          <w:p w14:paraId="6C464AC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noWrap w:val="0"/>
            <w:vAlign w:val="center"/>
          </w:tcPr>
          <w:p w14:paraId="6B0F070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7319C61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8月底前</w:t>
            </w:r>
          </w:p>
        </w:tc>
        <w:tc>
          <w:tcPr>
            <w:tcW w:w="1367" w:type="dxa"/>
            <w:noWrap w:val="0"/>
            <w:vAlign w:val="center"/>
          </w:tcPr>
          <w:p w14:paraId="14DA2B1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区纪委监委</w:t>
            </w:r>
          </w:p>
        </w:tc>
      </w:tr>
      <w:tr w14:paraId="2003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03" w:hRule="atLeast"/>
          <w:jc w:val="center"/>
        </w:trPr>
        <w:tc>
          <w:tcPr>
            <w:tcW w:w="571" w:type="dxa"/>
            <w:vMerge w:val="restart"/>
            <w:noWrap w:val="0"/>
            <w:vAlign w:val="center"/>
          </w:tcPr>
          <w:p w14:paraId="20B07638">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6</w:t>
            </w:r>
          </w:p>
        </w:tc>
        <w:tc>
          <w:tcPr>
            <w:tcW w:w="1201" w:type="dxa"/>
            <w:vMerge w:val="restart"/>
            <w:noWrap w:val="0"/>
            <w:vAlign w:val="center"/>
          </w:tcPr>
          <w:p w14:paraId="13E8514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政府工作人员服务态度及业务能力</w:t>
            </w:r>
          </w:p>
        </w:tc>
        <w:tc>
          <w:tcPr>
            <w:tcW w:w="2000" w:type="dxa"/>
            <w:noWrap w:val="0"/>
            <w:vAlign w:val="center"/>
          </w:tcPr>
          <w:p w14:paraId="3553555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①业务能力有待提升，解答政策不准确，落实一次性告知、首问负责制度不彻底。</w:t>
            </w:r>
          </w:p>
        </w:tc>
        <w:tc>
          <w:tcPr>
            <w:tcW w:w="6450" w:type="dxa"/>
            <w:noWrap w:val="0"/>
            <w:vAlign w:val="center"/>
          </w:tcPr>
          <w:p w14:paraId="447237F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12A1512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①运用好“办不成事”反映窗口及线上反馈通道，收集企业和群众在办事过程中办不了、办得慢的问题，形成督促整改反馈机制，切实提升满意度。</w:t>
            </w:r>
          </w:p>
          <w:p w14:paraId="148634C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制定《宁河区政务服务中心综合窗口及专业窗口工作人员管理办法》，明确政务服务中心窗口考核管理明细，规范窗口行为、交流方式和服务态度，将评价结果纳入对个人的考核，多层次开展业务培训，提升窗口人员服务接待能力。</w:t>
            </w:r>
          </w:p>
          <w:p w14:paraId="72F1286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eastAsia="zh-Hans"/>
              </w:rPr>
            </w:pPr>
            <w:r>
              <w:rPr>
                <w:rFonts w:hint="default" w:ascii="Times New Roman" w:hAnsi="Times New Roman" w:eastAsia="仿宋_GB2312" w:cs="Times New Roman"/>
                <w:b w:val="0"/>
                <w:bCs w:val="0"/>
                <w:sz w:val="21"/>
                <w:szCs w:val="21"/>
                <w:lang w:val="en-US" w:eastAsia="zh-CN"/>
              </w:rPr>
              <w:t>③推动“三快四优化”机制，明确17家相关单位政务服务事项办理流程，梳理事项关联性，明确业务流转、结果</w:t>
            </w:r>
            <w:r>
              <w:rPr>
                <w:rFonts w:hint="default" w:ascii="Times New Roman" w:hAnsi="Times New Roman" w:eastAsia="仿宋_GB2312" w:cs="Times New Roman"/>
                <w:b w:val="0"/>
                <w:bCs w:val="0"/>
                <w:sz w:val="21"/>
                <w:szCs w:val="21"/>
                <w:lang w:val="en-US" w:eastAsia="zh-Hans"/>
              </w:rPr>
              <w:t>送达</w:t>
            </w:r>
            <w:r>
              <w:rPr>
                <w:rFonts w:hint="default" w:ascii="Times New Roman" w:hAnsi="Times New Roman" w:eastAsia="仿宋_GB2312" w:cs="Times New Roman"/>
                <w:b w:val="0"/>
                <w:bCs w:val="0"/>
                <w:sz w:val="21"/>
                <w:szCs w:val="21"/>
                <w:lang w:eastAsia="zh-Hans"/>
              </w:rPr>
              <w:t>。</w:t>
            </w:r>
          </w:p>
          <w:p w14:paraId="435345B2">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vMerge w:val="restart"/>
            <w:noWrap w:val="0"/>
            <w:vAlign w:val="center"/>
          </w:tcPr>
          <w:p w14:paraId="39B4D4A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7CAB2D2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vMerge w:val="restart"/>
            <w:noWrap w:val="0"/>
            <w:vAlign w:val="center"/>
          </w:tcPr>
          <w:p w14:paraId="2373351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pacing w:val="-20"/>
                <w:sz w:val="21"/>
                <w:szCs w:val="21"/>
                <w:lang w:val="en-US" w:eastAsia="zh-CN"/>
              </w:rPr>
              <w:t>区政务服务办</w:t>
            </w:r>
          </w:p>
        </w:tc>
      </w:tr>
      <w:tr w14:paraId="0998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1" w:hRule="atLeast"/>
          <w:jc w:val="center"/>
        </w:trPr>
        <w:tc>
          <w:tcPr>
            <w:tcW w:w="571" w:type="dxa"/>
            <w:vMerge w:val="continue"/>
            <w:noWrap w:val="0"/>
            <w:vAlign w:val="center"/>
          </w:tcPr>
          <w:p w14:paraId="4C54D553">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rPr>
            </w:pPr>
          </w:p>
        </w:tc>
        <w:tc>
          <w:tcPr>
            <w:tcW w:w="1201" w:type="dxa"/>
            <w:vMerge w:val="continue"/>
            <w:noWrap w:val="0"/>
            <w:vAlign w:val="center"/>
          </w:tcPr>
          <w:p w14:paraId="1629C61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p>
        </w:tc>
        <w:tc>
          <w:tcPr>
            <w:tcW w:w="2000" w:type="dxa"/>
            <w:noWrap w:val="0"/>
            <w:vAlign w:val="center"/>
          </w:tcPr>
          <w:p w14:paraId="2E5AC0E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 “人人都是营商环境”理念不深，服务企业和百姓过程中服务态度有待进一步改善。</w:t>
            </w:r>
          </w:p>
        </w:tc>
        <w:tc>
          <w:tcPr>
            <w:tcW w:w="6450" w:type="dxa"/>
            <w:noWrap w:val="0"/>
            <w:vAlign w:val="center"/>
          </w:tcPr>
          <w:p w14:paraId="0B6D7E4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50C5AD3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①加强营商环境宣传，通过各级领导干部讲营商环境、有请发言人讲惠企政策，培植我区优化营商环境浓厚氛围。</w:t>
            </w:r>
          </w:p>
          <w:p w14:paraId="417362A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②强化业务培训，针对街镇部门高频事项，组织有关部门开展民政、人社、助残等方面的业务培训，针对区级政务服务机构，强化进驻综合窗口事项的业务培训，提升综合窗口人员接件服务能力。</w:t>
            </w:r>
          </w:p>
          <w:p w14:paraId="2F4A386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vMerge w:val="continue"/>
            <w:noWrap w:val="0"/>
            <w:vAlign w:val="center"/>
          </w:tcPr>
          <w:p w14:paraId="3667FFFB">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4115C43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5976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10" w:hRule="atLeast"/>
          <w:jc w:val="center"/>
        </w:trPr>
        <w:tc>
          <w:tcPr>
            <w:tcW w:w="571" w:type="dxa"/>
            <w:vMerge w:val="restart"/>
            <w:noWrap w:val="0"/>
            <w:vAlign w:val="center"/>
          </w:tcPr>
          <w:p w14:paraId="08B166EC">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7</w:t>
            </w:r>
          </w:p>
        </w:tc>
        <w:tc>
          <w:tcPr>
            <w:tcW w:w="1201" w:type="dxa"/>
            <w:vMerge w:val="restart"/>
            <w:noWrap w:val="0"/>
            <w:vAlign w:val="center"/>
          </w:tcPr>
          <w:p w14:paraId="0C56A26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开办企业</w:t>
            </w:r>
          </w:p>
        </w:tc>
        <w:tc>
          <w:tcPr>
            <w:tcW w:w="2000" w:type="dxa"/>
            <w:noWrap w:val="0"/>
            <w:vAlign w:val="center"/>
          </w:tcPr>
          <w:p w14:paraId="0093C0A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①企业开办申领发票用时较长。</w:t>
            </w:r>
          </w:p>
        </w:tc>
        <w:tc>
          <w:tcPr>
            <w:tcW w:w="6450" w:type="dxa"/>
            <w:noWrap w:val="0"/>
            <w:vAlign w:val="center"/>
          </w:tcPr>
          <w:p w14:paraId="2C2A068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对企业开办涉及的企业设立登记、公章刻制、发票申领、社保登记等业务流程整合优化，实现各部门业务协同办理，一窗统一受理、将企业开办时间分别压缩至设立登记0.5个工作日，公章刻制、发票申领并联办理0.5个工作日，推动社保登记并行办理。</w:t>
            </w:r>
          </w:p>
          <w:p w14:paraId="387C4EA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②增加专人负责受理审批申领发票，压缩发票审批时限至2小时内。</w:t>
            </w:r>
          </w:p>
        </w:tc>
        <w:tc>
          <w:tcPr>
            <w:tcW w:w="1020" w:type="dxa"/>
            <w:vMerge w:val="restart"/>
            <w:noWrap w:val="0"/>
            <w:vAlign w:val="center"/>
          </w:tcPr>
          <w:p w14:paraId="1A907BC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2024年</w:t>
            </w:r>
          </w:p>
          <w:p w14:paraId="6A77CA47">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8月底前</w:t>
            </w:r>
          </w:p>
        </w:tc>
        <w:tc>
          <w:tcPr>
            <w:tcW w:w="1367" w:type="dxa"/>
            <w:vMerge w:val="restart"/>
            <w:noWrap w:val="0"/>
            <w:vAlign w:val="center"/>
          </w:tcPr>
          <w:p w14:paraId="703BA4C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b w:val="0"/>
                <w:bCs w:val="0"/>
                <w:color w:val="000000"/>
                <w:spacing w:val="-20"/>
                <w:sz w:val="21"/>
                <w:szCs w:val="21"/>
                <w:lang w:val="en-US" w:eastAsia="zh-CN"/>
              </w:rPr>
            </w:pPr>
            <w:r>
              <w:rPr>
                <w:rFonts w:hint="default" w:ascii="Times New Roman" w:hAnsi="Times New Roman" w:eastAsia="仿宋_GB2312" w:cs="Times New Roman"/>
                <w:b w:val="0"/>
                <w:bCs w:val="0"/>
                <w:color w:val="000000"/>
                <w:spacing w:val="-20"/>
                <w:sz w:val="21"/>
                <w:szCs w:val="21"/>
                <w:lang w:val="en-US" w:eastAsia="zh-CN"/>
              </w:rPr>
              <w:t>区市场监管局</w:t>
            </w:r>
          </w:p>
          <w:p w14:paraId="245DE2DC">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区税务局</w:t>
            </w:r>
          </w:p>
          <w:p w14:paraId="687906F4">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pacing w:val="-20"/>
                <w:sz w:val="21"/>
                <w:szCs w:val="21"/>
                <w:lang w:val="en-US" w:eastAsia="zh-CN"/>
              </w:rPr>
              <w:t>公安宁河分局</w:t>
            </w:r>
          </w:p>
        </w:tc>
      </w:tr>
      <w:tr w14:paraId="6391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98" w:hRule="atLeast"/>
          <w:jc w:val="center"/>
        </w:trPr>
        <w:tc>
          <w:tcPr>
            <w:tcW w:w="571" w:type="dxa"/>
            <w:vMerge w:val="continue"/>
            <w:noWrap w:val="0"/>
            <w:vAlign w:val="center"/>
          </w:tcPr>
          <w:p w14:paraId="4513A3B9">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rPr>
            </w:pPr>
          </w:p>
        </w:tc>
        <w:tc>
          <w:tcPr>
            <w:tcW w:w="1201" w:type="dxa"/>
            <w:vMerge w:val="continue"/>
            <w:noWrap w:val="0"/>
            <w:vAlign w:val="center"/>
          </w:tcPr>
          <w:p w14:paraId="291BA16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p>
        </w:tc>
        <w:tc>
          <w:tcPr>
            <w:tcW w:w="2000" w:type="dxa"/>
            <w:noWrap w:val="0"/>
            <w:vAlign w:val="center"/>
          </w:tcPr>
          <w:p w14:paraId="45311B6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②电子营业执照宣传多样性不足、知晓率不高。</w:t>
            </w:r>
          </w:p>
        </w:tc>
        <w:tc>
          <w:tcPr>
            <w:tcW w:w="6450" w:type="dxa"/>
            <w:noWrap w:val="0"/>
            <w:vAlign w:val="center"/>
          </w:tcPr>
          <w:p w14:paraId="4F92D71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①综合运用线下线上相结合的宣传方式，加大宣传电子营业执照的应用场景宣传，制作电子营业执照宣传动画，在政务服务大厅播放。    ②通过融媒等宁河主流媒体宣传电子营业执照，参加《有请发言人》政策宣讲，讲解电子营业执照的下载方式和应用</w:t>
            </w:r>
            <w:r>
              <w:rPr>
                <w:rFonts w:hint="default" w:ascii="Times New Roman" w:hAnsi="Times New Roman" w:eastAsia="仿宋_GB2312" w:cs="Times New Roman"/>
                <w:b w:val="0"/>
                <w:bCs w:val="0"/>
                <w:sz w:val="21"/>
                <w:szCs w:val="21"/>
                <w:lang w:eastAsia="zh-CN"/>
              </w:rPr>
              <w:t>。</w:t>
            </w:r>
            <w:r>
              <w:rPr>
                <w:rFonts w:hint="default" w:ascii="Times New Roman" w:hAnsi="Times New Roman" w:eastAsia="仿宋_GB2312" w:cs="Times New Roman"/>
                <w:b w:val="0"/>
                <w:bCs w:val="0"/>
                <w:sz w:val="21"/>
                <w:szCs w:val="21"/>
                <w:lang w:val="en-US" w:eastAsia="zh-CN"/>
              </w:rPr>
              <w:t>在政务大厅和各街镇市场所发放电子营业执照宣传单，指导各经营主体下载和使用电子营业执照。</w:t>
            </w:r>
          </w:p>
        </w:tc>
        <w:tc>
          <w:tcPr>
            <w:tcW w:w="1020" w:type="dxa"/>
            <w:vMerge w:val="continue"/>
            <w:noWrap w:val="0"/>
            <w:vAlign w:val="center"/>
          </w:tcPr>
          <w:p w14:paraId="0A8638C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451741E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0478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5" w:hRule="atLeast"/>
          <w:jc w:val="center"/>
        </w:trPr>
        <w:tc>
          <w:tcPr>
            <w:tcW w:w="571" w:type="dxa"/>
            <w:vMerge w:val="continue"/>
            <w:noWrap w:val="0"/>
            <w:vAlign w:val="center"/>
          </w:tcPr>
          <w:p w14:paraId="6D1F5A47">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201" w:type="dxa"/>
            <w:vMerge w:val="continue"/>
            <w:noWrap w:val="0"/>
            <w:vAlign w:val="center"/>
          </w:tcPr>
          <w:p w14:paraId="3BBECB6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2000" w:type="dxa"/>
            <w:noWrap w:val="0"/>
            <w:vAlign w:val="center"/>
          </w:tcPr>
          <w:p w14:paraId="02A7483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③窗口工作人员主动性全面性不佳，履行一次性告知不佳。</w:t>
            </w:r>
          </w:p>
        </w:tc>
        <w:tc>
          <w:tcPr>
            <w:tcW w:w="6450" w:type="dxa"/>
            <w:noWrap w:val="0"/>
            <w:vAlign w:val="center"/>
          </w:tcPr>
          <w:p w14:paraId="659F435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每月对窗口工作人员进行业务知识培训，提高窗口接见人员业务水平。制作企业登记一次性告知单3种，补正通知书一份，详细介绍公司设立、变更、注销全流程的办理方式、提交材料，让办事群众一看就懂、一报就会。</w:t>
            </w:r>
          </w:p>
        </w:tc>
        <w:tc>
          <w:tcPr>
            <w:tcW w:w="1020" w:type="dxa"/>
            <w:vMerge w:val="continue"/>
            <w:noWrap w:val="0"/>
            <w:vAlign w:val="center"/>
          </w:tcPr>
          <w:p w14:paraId="715E3068">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554CA9A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16F6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2" w:hRule="atLeast"/>
          <w:jc w:val="center"/>
        </w:trPr>
        <w:tc>
          <w:tcPr>
            <w:tcW w:w="571" w:type="dxa"/>
            <w:noWrap w:val="0"/>
            <w:vAlign w:val="center"/>
          </w:tcPr>
          <w:p w14:paraId="430D8BA9">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w:t>
            </w:r>
          </w:p>
        </w:tc>
        <w:tc>
          <w:tcPr>
            <w:tcW w:w="1201" w:type="dxa"/>
            <w:noWrap w:val="0"/>
            <w:vAlign w:val="center"/>
          </w:tcPr>
          <w:p w14:paraId="632DB27A">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工程建设项目审批</w:t>
            </w:r>
          </w:p>
        </w:tc>
        <w:tc>
          <w:tcPr>
            <w:tcW w:w="2000" w:type="dxa"/>
            <w:noWrap w:val="0"/>
            <w:vAlign w:val="center"/>
          </w:tcPr>
          <w:p w14:paraId="1242416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全流程审批耗时较长。</w:t>
            </w:r>
          </w:p>
        </w:tc>
        <w:tc>
          <w:tcPr>
            <w:tcW w:w="6450" w:type="dxa"/>
            <w:noWrap w:val="0"/>
            <w:vAlign w:val="center"/>
          </w:tcPr>
          <w:p w14:paraId="28C8D77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①按照提前介入、精准对接、公开高效、免费服务的工作机制，指定帮办代办员全流程跟进项目办理，为建设单位提供“专人+帮办+陪办”的“一站式”服务。</w:t>
            </w:r>
          </w:p>
          <w:p w14:paraId="3F142F5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②在津策通上及时上传最新审批政策，发布一图读懂、政策解读，宣贯最新改革政策；强化服务跟踪，跟踪督办重要节点事项，提高审批效能。</w:t>
            </w:r>
          </w:p>
        </w:tc>
        <w:tc>
          <w:tcPr>
            <w:tcW w:w="1020" w:type="dxa"/>
            <w:noWrap w:val="0"/>
            <w:vAlign w:val="center"/>
          </w:tcPr>
          <w:p w14:paraId="1BE7C76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2D10E3EB">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53950119">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pacing w:val="-20"/>
                <w:sz w:val="21"/>
                <w:szCs w:val="21"/>
                <w:lang w:val="en-US" w:eastAsia="zh-CN"/>
              </w:rPr>
              <w:t>区政务服务办</w:t>
            </w:r>
          </w:p>
        </w:tc>
      </w:tr>
      <w:tr w14:paraId="6868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21" w:hRule="atLeast"/>
          <w:jc w:val="center"/>
        </w:trPr>
        <w:tc>
          <w:tcPr>
            <w:tcW w:w="571" w:type="dxa"/>
            <w:noWrap w:val="0"/>
            <w:vAlign w:val="center"/>
          </w:tcPr>
          <w:p w14:paraId="630A7356">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9</w:t>
            </w:r>
          </w:p>
        </w:tc>
        <w:tc>
          <w:tcPr>
            <w:tcW w:w="1201" w:type="dxa"/>
            <w:noWrap w:val="0"/>
            <w:vAlign w:val="center"/>
          </w:tcPr>
          <w:p w14:paraId="3C6AE3A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税费缴纳</w:t>
            </w:r>
          </w:p>
        </w:tc>
        <w:tc>
          <w:tcPr>
            <w:tcW w:w="2000" w:type="dxa"/>
            <w:noWrap w:val="0"/>
            <w:vAlign w:val="center"/>
          </w:tcPr>
          <w:p w14:paraId="597077E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征期办税业务量大，企业来办税服务厅办理业务可能出现拥堵问题。</w:t>
            </w:r>
          </w:p>
        </w:tc>
        <w:tc>
          <w:tcPr>
            <w:tcW w:w="6450" w:type="dxa"/>
            <w:noWrap w:val="0"/>
            <w:vAlign w:val="center"/>
          </w:tcPr>
          <w:p w14:paraId="3A58250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①在办税服务厅增加五位导税人员，对纳税人进行分流，通过预先梳理纳税人要办的业务，精准事前辅导，减少拥堵情况。</w:t>
            </w:r>
          </w:p>
          <w:p w14:paraId="2CAD1BA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②增加4个简事快办专窗，2个繁事简办专窗，对业务进行分流，减少纳税人在厅时间。</w:t>
            </w:r>
          </w:p>
          <w:p w14:paraId="2344776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③积极引导纳税人通过电子税务局、征纳互动等非接触渠道，远程办理业务，降低企业办税成本。</w:t>
            </w:r>
          </w:p>
        </w:tc>
        <w:tc>
          <w:tcPr>
            <w:tcW w:w="1020" w:type="dxa"/>
            <w:noWrap w:val="0"/>
            <w:vAlign w:val="center"/>
          </w:tcPr>
          <w:p w14:paraId="37DE327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2C7D542C">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8月底前</w:t>
            </w:r>
          </w:p>
        </w:tc>
        <w:tc>
          <w:tcPr>
            <w:tcW w:w="1367" w:type="dxa"/>
            <w:noWrap w:val="0"/>
            <w:vAlign w:val="center"/>
          </w:tcPr>
          <w:p w14:paraId="280568F6">
            <w:pPr>
              <w:keepNext w:val="0"/>
              <w:keepLines w:val="0"/>
              <w:pageBreakBefore w:val="0"/>
              <w:kinsoku/>
              <w:wordWrap/>
              <w:overflowPunct/>
              <w:topLinePunct w:val="0"/>
              <w:autoSpaceDE/>
              <w:autoSpaceDN/>
              <w:bidi w:val="0"/>
              <w:adjustRightInd/>
              <w:snapToGrid/>
              <w:ind w:firstLine="210" w:firstLineChars="10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区税务局</w:t>
            </w:r>
          </w:p>
        </w:tc>
      </w:tr>
      <w:tr w14:paraId="5CDC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9" w:hRule="atLeast"/>
          <w:jc w:val="center"/>
        </w:trPr>
        <w:tc>
          <w:tcPr>
            <w:tcW w:w="571" w:type="dxa"/>
            <w:noWrap w:val="0"/>
            <w:vAlign w:val="center"/>
          </w:tcPr>
          <w:p w14:paraId="2E713E51">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10</w:t>
            </w:r>
          </w:p>
        </w:tc>
        <w:tc>
          <w:tcPr>
            <w:tcW w:w="1201" w:type="dxa"/>
            <w:noWrap w:val="0"/>
            <w:vAlign w:val="center"/>
          </w:tcPr>
          <w:p w14:paraId="4A75198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工程建设项目审批</w:t>
            </w:r>
          </w:p>
        </w:tc>
        <w:tc>
          <w:tcPr>
            <w:tcW w:w="2000" w:type="dxa"/>
            <w:noWrap w:val="0"/>
            <w:vAlign w:val="center"/>
          </w:tcPr>
          <w:p w14:paraId="138F116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在“桩基先行，企业以承诺方式办理桩基部位质量监督手续和施工许可证”方面进一步推进。</w:t>
            </w:r>
          </w:p>
        </w:tc>
        <w:tc>
          <w:tcPr>
            <w:tcW w:w="6450" w:type="dxa"/>
            <w:noWrap w:val="0"/>
            <w:vAlign w:val="center"/>
          </w:tcPr>
          <w:p w14:paraId="4B009E5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全面推行“桩基先行”分阶段办理建筑工程施工许可政策，并且在审批窗口做好政策宣传，对已经完成施工发包的桩基础工程，建设单位可凭设计方案批准文件以及施工许可证等其他法定要件，向行业主管部门直接申领桩基础工程施工许可证，同时以承诺方式办理桩基部位质量监督手续，企业就可以先行开展桩基础工程施工。</w:t>
            </w:r>
          </w:p>
        </w:tc>
        <w:tc>
          <w:tcPr>
            <w:tcW w:w="1020" w:type="dxa"/>
            <w:noWrap w:val="0"/>
            <w:vAlign w:val="center"/>
          </w:tcPr>
          <w:p w14:paraId="05F9544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54B12EEC">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51653C7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区住建委</w:t>
            </w:r>
          </w:p>
          <w:p w14:paraId="33F54746">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pacing w:val="-20"/>
                <w:sz w:val="21"/>
                <w:szCs w:val="21"/>
                <w:lang w:val="en-US" w:eastAsia="zh-CN"/>
              </w:rPr>
              <w:t>区政务服务办</w:t>
            </w:r>
          </w:p>
        </w:tc>
      </w:tr>
      <w:tr w14:paraId="0615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6" w:hRule="atLeast"/>
          <w:jc w:val="center"/>
        </w:trPr>
        <w:tc>
          <w:tcPr>
            <w:tcW w:w="571" w:type="dxa"/>
            <w:noWrap w:val="0"/>
            <w:vAlign w:val="center"/>
          </w:tcPr>
          <w:p w14:paraId="015E01F8">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11</w:t>
            </w:r>
          </w:p>
        </w:tc>
        <w:tc>
          <w:tcPr>
            <w:tcW w:w="1201" w:type="dxa"/>
            <w:noWrap w:val="0"/>
            <w:vAlign w:val="center"/>
          </w:tcPr>
          <w:p w14:paraId="06E13490">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口岸通关</w:t>
            </w:r>
          </w:p>
        </w:tc>
        <w:tc>
          <w:tcPr>
            <w:tcW w:w="2000" w:type="dxa"/>
            <w:noWrap w:val="0"/>
            <w:vAlign w:val="center"/>
          </w:tcPr>
          <w:p w14:paraId="63DF3F8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①特定商品查验不便利、周期长。</w:t>
            </w:r>
          </w:p>
        </w:tc>
        <w:tc>
          <w:tcPr>
            <w:tcW w:w="6450" w:type="dxa"/>
            <w:noWrap w:val="0"/>
            <w:vAlign w:val="center"/>
          </w:tcPr>
          <w:p w14:paraId="717B98CA">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①持续开展《宁河海关企业遍访2.0行动》。采取“关长送政策上门”“海关—企业家”沙龙等方式倾听企业困难和需求，集中力量解决企业急难愁盼问题。</w:t>
            </w:r>
          </w:p>
          <w:p w14:paraId="1065008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lang w:val="en-US" w:eastAsia="zh-CN"/>
              </w:rPr>
              <w:t>②成立宁河海关通关保障服务应急小组，完善智慧化关企网格沟通平台，落实“经办关员—科长—关领导”三级处置机制</w:t>
            </w:r>
            <w:r>
              <w:rPr>
                <w:rFonts w:hint="default" w:ascii="Times New Roman" w:hAnsi="Times New Roman" w:eastAsia="仿宋_GB2312" w:cs="Times New Roman"/>
                <w:b w:val="0"/>
                <w:bCs w:val="0"/>
                <w:sz w:val="21"/>
                <w:szCs w:val="21"/>
                <w:lang w:eastAsia="zh-CN"/>
              </w:rPr>
              <w:t>。</w:t>
            </w:r>
          </w:p>
          <w:p w14:paraId="4BE89A9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③设立数据统计服务岗，指导企业用好海关统计数据在线查询平台</w:t>
            </w:r>
            <w:r>
              <w:rPr>
                <w:rFonts w:hint="default" w:ascii="Times New Roman" w:hAnsi="Times New Roman" w:eastAsia="仿宋_GB2312" w:cs="Times New Roman"/>
                <w:b w:val="0"/>
                <w:bCs w:val="0"/>
                <w:sz w:val="21"/>
                <w:szCs w:val="21"/>
                <w:lang w:eastAsia="zh-CN"/>
              </w:rPr>
              <w:t>。</w:t>
            </w:r>
          </w:p>
        </w:tc>
        <w:tc>
          <w:tcPr>
            <w:tcW w:w="1020" w:type="dxa"/>
            <w:noWrap w:val="0"/>
            <w:vAlign w:val="center"/>
          </w:tcPr>
          <w:p w14:paraId="2598EAE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635208BB">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8月底前</w:t>
            </w:r>
          </w:p>
        </w:tc>
        <w:tc>
          <w:tcPr>
            <w:tcW w:w="1367" w:type="dxa"/>
            <w:noWrap w:val="0"/>
            <w:vAlign w:val="center"/>
          </w:tcPr>
          <w:p w14:paraId="4F1499D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宁河海关</w:t>
            </w:r>
          </w:p>
        </w:tc>
      </w:tr>
      <w:tr w14:paraId="3828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8" w:hRule="atLeast"/>
          <w:jc w:val="center"/>
        </w:trPr>
        <w:tc>
          <w:tcPr>
            <w:tcW w:w="571" w:type="dxa"/>
            <w:noWrap w:val="0"/>
            <w:vAlign w:val="center"/>
          </w:tcPr>
          <w:p w14:paraId="11346E34">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11</w:t>
            </w:r>
          </w:p>
        </w:tc>
        <w:tc>
          <w:tcPr>
            <w:tcW w:w="1201" w:type="dxa"/>
            <w:noWrap w:val="0"/>
            <w:vAlign w:val="center"/>
          </w:tcPr>
          <w:p w14:paraId="3CA7FDA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口岸通关</w:t>
            </w:r>
          </w:p>
        </w:tc>
        <w:tc>
          <w:tcPr>
            <w:tcW w:w="2000" w:type="dxa"/>
            <w:noWrap w:val="0"/>
            <w:vAlign w:val="center"/>
          </w:tcPr>
          <w:p w14:paraId="0FB39BE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②清关费用高、查验费用高。</w:t>
            </w:r>
          </w:p>
        </w:tc>
        <w:tc>
          <w:tcPr>
            <w:tcW w:w="6450" w:type="dxa"/>
            <w:noWrap w:val="0"/>
            <w:vAlign w:val="center"/>
          </w:tcPr>
          <w:p w14:paraId="3F0A4B9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44555F0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①“一对一”指导企业用好原产地证书自助打印、检验检疫证书“云签发”等通关便利措施，让企业少跑路、数据多跑路。</w:t>
            </w:r>
          </w:p>
          <w:p w14:paraId="07D9FF3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②提供“7×24小时”预约申报通关和货物查验服务，保障企业节假日通关需求；实施“嵌入式”属地查检，保障鲜活易腐农食产品检验检疫工作当日办结。</w:t>
            </w:r>
          </w:p>
          <w:p w14:paraId="76E8CFEA">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③利用“海关—企业家”沙龙、“暖企驿站”等形式，举办政策、经验交流分享主题研讨会，积极搭建“飞地”企业通关政策分享平台，探索通关协作机制，鼓励“飞地”企业就近便利通关。</w:t>
            </w:r>
          </w:p>
          <w:p w14:paraId="6C0E72A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noWrap w:val="0"/>
            <w:vAlign w:val="center"/>
          </w:tcPr>
          <w:p w14:paraId="1860A5B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597A23A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8月底前</w:t>
            </w:r>
          </w:p>
        </w:tc>
        <w:tc>
          <w:tcPr>
            <w:tcW w:w="1367" w:type="dxa"/>
            <w:noWrap w:val="0"/>
            <w:vAlign w:val="center"/>
          </w:tcPr>
          <w:p w14:paraId="5B73F4AC">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宁河海关</w:t>
            </w:r>
          </w:p>
        </w:tc>
      </w:tr>
      <w:tr w14:paraId="0F10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0" w:hRule="atLeast"/>
          <w:jc w:val="center"/>
        </w:trPr>
        <w:tc>
          <w:tcPr>
            <w:tcW w:w="571" w:type="dxa"/>
            <w:noWrap w:val="0"/>
            <w:vAlign w:val="center"/>
          </w:tcPr>
          <w:p w14:paraId="77781C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12</w:t>
            </w:r>
          </w:p>
        </w:tc>
        <w:tc>
          <w:tcPr>
            <w:tcW w:w="1201" w:type="dxa"/>
            <w:noWrap w:val="0"/>
            <w:vAlign w:val="center"/>
          </w:tcPr>
          <w:p w14:paraId="56A79400">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依法维护涉案企业合法权益</w:t>
            </w:r>
          </w:p>
        </w:tc>
        <w:tc>
          <w:tcPr>
            <w:tcW w:w="2000" w:type="dxa"/>
            <w:noWrap w:val="0"/>
            <w:vAlign w:val="center"/>
          </w:tcPr>
          <w:p w14:paraId="77B9EAA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《服务保障民营经济高质量发展十二项措施》个别举措未能落地见效。涉企矛盾纠纷实质性化解效果仍需提升。</w:t>
            </w:r>
          </w:p>
        </w:tc>
        <w:tc>
          <w:tcPr>
            <w:tcW w:w="6450" w:type="dxa"/>
            <w:noWrap w:val="0"/>
            <w:vAlign w:val="center"/>
          </w:tcPr>
          <w:p w14:paraId="2EFE45B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43FEA78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①加大《服务保障民营经济高质量发展十二项措施》推动落实力度，从立、审、执等各环节持续优化司法服务，全力服务保障民营企业高质量发展。</w:t>
            </w:r>
          </w:p>
          <w:p w14:paraId="79DB6E8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开展实体企业、协会商会“两个走遍”活动。结合工作实际，制定活动实施方案，明确7项工作措施、4个活动阶段。将15个街镇各企业由各庭包保负责，定期对企业走访座谈，在政策落实、行业监管、公司治理等方面提供能动法律服务，帮助企业从源头上化解风险、解决问题。</w:t>
            </w:r>
          </w:p>
          <w:p w14:paraId="30987F7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③深入企业开展普法讲座3场以上，引导企业守法经营，强化防范法律风险、商业风险意识，推进民营企业在法治轨道上健康发展。</w:t>
            </w:r>
          </w:p>
        </w:tc>
        <w:tc>
          <w:tcPr>
            <w:tcW w:w="1020" w:type="dxa"/>
            <w:noWrap w:val="0"/>
            <w:vAlign w:val="center"/>
          </w:tcPr>
          <w:p w14:paraId="7A20427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2024年</w:t>
            </w:r>
          </w:p>
          <w:p w14:paraId="24744809">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10月底前</w:t>
            </w:r>
          </w:p>
        </w:tc>
        <w:tc>
          <w:tcPr>
            <w:tcW w:w="1367" w:type="dxa"/>
            <w:noWrap w:val="0"/>
            <w:vAlign w:val="center"/>
          </w:tcPr>
          <w:p w14:paraId="4483F073">
            <w:pPr>
              <w:keepNext w:val="0"/>
              <w:keepLines w:val="0"/>
              <w:pageBreakBefore w:val="0"/>
              <w:kinsoku/>
              <w:wordWrap/>
              <w:overflowPunct/>
              <w:topLinePunct w:val="0"/>
              <w:autoSpaceDE/>
              <w:autoSpaceDN/>
              <w:bidi w:val="0"/>
              <w:adjustRightInd/>
              <w:snapToGrid/>
              <w:ind w:firstLine="210" w:firstLineChars="100"/>
              <w:jc w:val="both"/>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区法院</w:t>
            </w:r>
          </w:p>
        </w:tc>
      </w:tr>
      <w:tr w14:paraId="41EC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0" w:hRule="atLeast"/>
          <w:jc w:val="center"/>
        </w:trPr>
        <w:tc>
          <w:tcPr>
            <w:tcW w:w="571" w:type="dxa"/>
            <w:vMerge w:val="restart"/>
            <w:noWrap w:val="0"/>
            <w:vAlign w:val="center"/>
          </w:tcPr>
          <w:p w14:paraId="3EF10EC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vertAlign w:val="baseline"/>
                <w:lang w:val="en-US" w:eastAsia="zh-CN"/>
              </w:rPr>
              <w:t>13</w:t>
            </w:r>
          </w:p>
        </w:tc>
        <w:tc>
          <w:tcPr>
            <w:tcW w:w="1201" w:type="dxa"/>
            <w:vMerge w:val="restart"/>
            <w:noWrap w:val="0"/>
            <w:vAlign w:val="center"/>
          </w:tcPr>
          <w:p w14:paraId="6A703C8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vertAlign w:val="baseline"/>
                <w:lang w:eastAsia="zh-CN"/>
              </w:rPr>
              <w:t>用水用气保障及成本</w:t>
            </w:r>
          </w:p>
        </w:tc>
        <w:tc>
          <w:tcPr>
            <w:tcW w:w="2000" w:type="dxa"/>
            <w:noWrap w:val="0"/>
            <w:vAlign w:val="center"/>
          </w:tcPr>
          <w:p w14:paraId="284F73E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①保障企业用水服务宣传不到位。</w:t>
            </w:r>
          </w:p>
        </w:tc>
        <w:tc>
          <w:tcPr>
            <w:tcW w:w="6450" w:type="dxa"/>
            <w:noWrap w:val="0"/>
            <w:vAlign w:val="center"/>
          </w:tcPr>
          <w:p w14:paraId="4C930DA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sz w:val="21"/>
                <w:szCs w:val="21"/>
                <w:lang w:val="en-US" w:eastAsia="zh-CN"/>
              </w:rPr>
              <w:t>①</w:t>
            </w:r>
            <w:r>
              <w:rPr>
                <w:rFonts w:hint="default" w:ascii="Times New Roman" w:hAnsi="Times New Roman" w:eastAsia="仿宋_GB2312" w:cs="Times New Roman"/>
                <w:b w:val="0"/>
                <w:bCs w:val="0"/>
                <w:color w:val="000000"/>
                <w:sz w:val="21"/>
                <w:szCs w:val="21"/>
                <w:lang w:val="en-US" w:eastAsia="zh-CN"/>
              </w:rPr>
              <w:t>制作用水报装“一图读懂”明白纸、业务办理服务指南、用水常识等宣传材料，在市民中心及营业厅办件窗口发放；制作用水服务指南解读文章、短视频，通过微信公众号等线上途径发布，增加宣传覆盖面。</w:t>
            </w:r>
            <w:r>
              <w:rPr>
                <w:rFonts w:hint="default" w:ascii="Times New Roman" w:hAnsi="Times New Roman" w:eastAsia="仿宋_GB2312" w:cs="Times New Roman"/>
                <w:b w:val="0"/>
                <w:bCs w:val="0"/>
                <w:sz w:val="21"/>
                <w:szCs w:val="21"/>
                <w:lang w:val="en-US" w:eastAsia="zh-CN"/>
              </w:rPr>
              <w:t>②</w:t>
            </w:r>
            <w:r>
              <w:rPr>
                <w:rFonts w:hint="default" w:ascii="Times New Roman" w:hAnsi="Times New Roman" w:eastAsia="仿宋_GB2312" w:cs="Times New Roman"/>
                <w:b w:val="0"/>
                <w:bCs w:val="0"/>
                <w:color w:val="000000"/>
                <w:sz w:val="21"/>
                <w:szCs w:val="21"/>
                <w:lang w:val="en-US" w:eastAsia="zh-CN"/>
              </w:rPr>
              <w:t>每月前往6户用水企业开展调研走访，宣讲服务指南，了解企业用水需求，将企业诉求建立问题台账，及时解决处理。安排专人对接用水量大的企业用户，加强信息沟通，及时了解企业需求，提升供水服务。</w:t>
            </w:r>
          </w:p>
        </w:tc>
        <w:tc>
          <w:tcPr>
            <w:tcW w:w="1020" w:type="dxa"/>
            <w:vMerge w:val="restart"/>
            <w:noWrap w:val="0"/>
            <w:vAlign w:val="center"/>
          </w:tcPr>
          <w:p w14:paraId="75A270B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_GB2312" w:cs="Times New Roman"/>
                <w:b w:val="0"/>
                <w:bCs w:val="0"/>
                <w:i w:val="0"/>
                <w:color w:val="000000"/>
                <w:kern w:val="0"/>
                <w:sz w:val="21"/>
                <w:szCs w:val="21"/>
                <w:u w:val="none"/>
                <w:lang w:val="en-US" w:eastAsia="zh-CN" w:bidi="ar"/>
              </w:rPr>
            </w:pPr>
            <w:r>
              <w:rPr>
                <w:rFonts w:hint="default" w:ascii="Times New Roman" w:hAnsi="Times New Roman" w:eastAsia="仿宋_GB2312" w:cs="Times New Roman"/>
                <w:b w:val="0"/>
                <w:bCs w:val="0"/>
                <w:i w:val="0"/>
                <w:color w:val="000000"/>
                <w:kern w:val="0"/>
                <w:sz w:val="21"/>
                <w:szCs w:val="21"/>
                <w:u w:val="none"/>
                <w:lang w:val="en-US" w:eastAsia="zh-CN" w:bidi="ar"/>
              </w:rPr>
              <w:t>2024年</w:t>
            </w:r>
          </w:p>
          <w:p w14:paraId="623BEA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i w:val="0"/>
                <w:color w:val="000000"/>
                <w:kern w:val="0"/>
                <w:sz w:val="21"/>
                <w:szCs w:val="21"/>
                <w:u w:val="none"/>
                <w:lang w:val="en-US" w:eastAsia="zh-CN" w:bidi="ar"/>
              </w:rPr>
              <w:t>8月底前</w:t>
            </w:r>
          </w:p>
        </w:tc>
        <w:tc>
          <w:tcPr>
            <w:tcW w:w="1367" w:type="dxa"/>
            <w:vMerge w:val="restart"/>
            <w:noWrap w:val="0"/>
            <w:vAlign w:val="center"/>
          </w:tcPr>
          <w:p w14:paraId="1ACB40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i w:val="0"/>
                <w:color w:val="000000"/>
                <w:kern w:val="0"/>
                <w:sz w:val="21"/>
                <w:szCs w:val="21"/>
                <w:u w:val="none"/>
                <w:lang w:val="en-US" w:eastAsia="zh-CN" w:bidi="ar"/>
              </w:rPr>
              <w:t>区水务局</w:t>
            </w:r>
          </w:p>
        </w:tc>
      </w:tr>
      <w:tr w14:paraId="1085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9" w:hRule="atLeast"/>
          <w:jc w:val="center"/>
        </w:trPr>
        <w:tc>
          <w:tcPr>
            <w:tcW w:w="571" w:type="dxa"/>
            <w:vMerge w:val="continue"/>
            <w:noWrap w:val="0"/>
            <w:vAlign w:val="center"/>
          </w:tcPr>
          <w:p w14:paraId="3D783C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sz w:val="21"/>
                <w:szCs w:val="21"/>
              </w:rPr>
            </w:pPr>
          </w:p>
        </w:tc>
        <w:tc>
          <w:tcPr>
            <w:tcW w:w="1201" w:type="dxa"/>
            <w:vMerge w:val="continue"/>
            <w:noWrap w:val="0"/>
            <w:vAlign w:val="center"/>
          </w:tcPr>
          <w:p w14:paraId="6DFD766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方正仿宋_GB2312" w:cs="Times New Roman"/>
                <w:b w:val="0"/>
                <w:bCs w:val="0"/>
                <w:sz w:val="21"/>
                <w:szCs w:val="21"/>
              </w:rPr>
            </w:pPr>
          </w:p>
        </w:tc>
        <w:tc>
          <w:tcPr>
            <w:tcW w:w="2000" w:type="dxa"/>
            <w:noWrap w:val="0"/>
            <w:vAlign w:val="center"/>
          </w:tcPr>
          <w:p w14:paraId="5E5DE1D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②用水报装手续不够简化</w:t>
            </w:r>
          </w:p>
        </w:tc>
        <w:tc>
          <w:tcPr>
            <w:tcW w:w="6450" w:type="dxa"/>
            <w:noWrap w:val="0"/>
            <w:vAlign w:val="center"/>
          </w:tcPr>
          <w:p w14:paraId="3B74B41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实行供水接入工程报装申请“零材料”和“一表式”办理，用户只需提供《用水报装申请表》，对相关内容</w:t>
            </w:r>
            <w:r>
              <w:rPr>
                <w:rFonts w:hint="eastAsia" w:ascii="Times New Roman" w:hAnsi="Times New Roman" w:eastAsia="仿宋_GB2312" w:cs="Times New Roman"/>
                <w:b w:val="0"/>
                <w:bCs w:val="0"/>
                <w:color w:val="000000"/>
                <w:sz w:val="21"/>
                <w:szCs w:val="21"/>
                <w:lang w:val="en-US" w:eastAsia="zh-CN"/>
              </w:rPr>
              <w:t>作</w:t>
            </w:r>
            <w:bookmarkStart w:id="0" w:name="_GoBack"/>
            <w:bookmarkEnd w:id="0"/>
            <w:r>
              <w:rPr>
                <w:rFonts w:hint="default" w:ascii="Times New Roman" w:hAnsi="Times New Roman" w:eastAsia="仿宋_GB2312" w:cs="Times New Roman"/>
                <w:b w:val="0"/>
                <w:bCs w:val="0"/>
                <w:color w:val="000000"/>
                <w:sz w:val="21"/>
                <w:szCs w:val="21"/>
                <w:lang w:val="en-US" w:eastAsia="zh-CN"/>
              </w:rPr>
              <w:t>出承诺即可申请。同时压缩整体接入时间，管径DN50及以下、长度在200米以内的新装给水工程，规定无外线工程时4个工作日通水，若有外线工程时8个工作日通水。</w:t>
            </w:r>
          </w:p>
        </w:tc>
        <w:tc>
          <w:tcPr>
            <w:tcW w:w="1020" w:type="dxa"/>
            <w:vMerge w:val="continue"/>
            <w:noWrap w:val="0"/>
            <w:vAlign w:val="center"/>
          </w:tcPr>
          <w:p w14:paraId="3F929B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i w:val="0"/>
                <w:color w:val="000000"/>
                <w:kern w:val="0"/>
                <w:sz w:val="21"/>
                <w:szCs w:val="21"/>
                <w:u w:val="none"/>
                <w:lang w:val="en-US" w:eastAsia="zh-CN" w:bidi="ar"/>
              </w:rPr>
            </w:pPr>
          </w:p>
        </w:tc>
        <w:tc>
          <w:tcPr>
            <w:tcW w:w="1367" w:type="dxa"/>
            <w:vMerge w:val="continue"/>
            <w:noWrap w:val="0"/>
            <w:vAlign w:val="center"/>
          </w:tcPr>
          <w:p w14:paraId="5DDA05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i w:val="0"/>
                <w:color w:val="000000"/>
                <w:kern w:val="0"/>
                <w:sz w:val="21"/>
                <w:szCs w:val="21"/>
                <w:u w:val="none"/>
                <w:lang w:val="en-US" w:eastAsia="zh-CN" w:bidi="ar"/>
              </w:rPr>
            </w:pPr>
          </w:p>
        </w:tc>
      </w:tr>
      <w:tr w14:paraId="534E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571" w:type="dxa"/>
            <w:vMerge w:val="continue"/>
            <w:noWrap w:val="0"/>
            <w:vAlign w:val="center"/>
          </w:tcPr>
          <w:p w14:paraId="4373F2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i w:val="0"/>
                <w:color w:val="000000"/>
                <w:kern w:val="0"/>
                <w:sz w:val="21"/>
                <w:szCs w:val="21"/>
                <w:u w:val="none"/>
                <w:lang w:val="en-US" w:eastAsia="zh-CN" w:bidi="ar"/>
              </w:rPr>
            </w:pPr>
          </w:p>
        </w:tc>
        <w:tc>
          <w:tcPr>
            <w:tcW w:w="1201" w:type="dxa"/>
            <w:vMerge w:val="continue"/>
            <w:noWrap w:val="0"/>
            <w:vAlign w:val="center"/>
          </w:tcPr>
          <w:p w14:paraId="30E35AC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方正仿宋_GB2312" w:cs="Times New Roman"/>
                <w:b w:val="0"/>
                <w:bCs w:val="0"/>
                <w:i w:val="0"/>
                <w:color w:val="000000"/>
                <w:kern w:val="0"/>
                <w:sz w:val="21"/>
                <w:szCs w:val="21"/>
                <w:u w:val="none"/>
                <w:lang w:val="en-US" w:eastAsia="zh-CN" w:bidi="ar"/>
              </w:rPr>
            </w:pPr>
          </w:p>
        </w:tc>
        <w:tc>
          <w:tcPr>
            <w:tcW w:w="2000" w:type="dxa"/>
            <w:noWrap w:val="0"/>
            <w:vAlign w:val="center"/>
          </w:tcPr>
          <w:p w14:paraId="4E6D662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③未全面推行用水电子发票（包含污水处理费）。</w:t>
            </w:r>
          </w:p>
        </w:tc>
        <w:tc>
          <w:tcPr>
            <w:tcW w:w="6450" w:type="dxa"/>
            <w:noWrap w:val="0"/>
            <w:vAlign w:val="center"/>
          </w:tcPr>
          <w:p w14:paraId="63157A3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p>
          <w:p w14:paraId="6BD0530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积极对接财政局、税务局实现水费增值税专用发票电子化，进一步实现发票申请、开具、使用和存储的全过程信息化，方便用户随时在税务机关网站查询和验证发票信息。</w:t>
            </w:r>
          </w:p>
          <w:p w14:paraId="4974CD5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color w:val="000000"/>
                <w:sz w:val="21"/>
                <w:szCs w:val="21"/>
                <w:lang w:val="en-US" w:eastAsia="zh-CN"/>
              </w:rPr>
            </w:pPr>
          </w:p>
        </w:tc>
        <w:tc>
          <w:tcPr>
            <w:tcW w:w="1020" w:type="dxa"/>
            <w:vMerge w:val="continue"/>
            <w:noWrap w:val="0"/>
            <w:vAlign w:val="center"/>
          </w:tcPr>
          <w:p w14:paraId="0A962B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i w:val="0"/>
                <w:color w:val="000000"/>
                <w:kern w:val="0"/>
                <w:sz w:val="21"/>
                <w:szCs w:val="21"/>
                <w:u w:val="none"/>
                <w:lang w:val="en-US" w:eastAsia="zh-CN" w:bidi="ar"/>
              </w:rPr>
            </w:pPr>
          </w:p>
        </w:tc>
        <w:tc>
          <w:tcPr>
            <w:tcW w:w="1367" w:type="dxa"/>
            <w:vMerge w:val="continue"/>
            <w:noWrap w:val="0"/>
            <w:vAlign w:val="center"/>
          </w:tcPr>
          <w:p w14:paraId="2E66D3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i w:val="0"/>
                <w:color w:val="000000"/>
                <w:kern w:val="0"/>
                <w:sz w:val="21"/>
                <w:szCs w:val="21"/>
                <w:u w:val="none"/>
                <w:lang w:val="en-US" w:eastAsia="zh-CN" w:bidi="ar"/>
              </w:rPr>
            </w:pPr>
          </w:p>
        </w:tc>
      </w:tr>
      <w:tr w14:paraId="1BC2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 w:hRule="atLeast"/>
          <w:jc w:val="center"/>
        </w:trPr>
        <w:tc>
          <w:tcPr>
            <w:tcW w:w="571" w:type="dxa"/>
            <w:noWrap w:val="0"/>
            <w:vAlign w:val="center"/>
          </w:tcPr>
          <w:p w14:paraId="74951A5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eastAsia="zh-CN"/>
              </w:rPr>
              <w:t>1</w:t>
            </w:r>
            <w:r>
              <w:rPr>
                <w:rFonts w:hint="default" w:ascii="Times New Roman" w:hAnsi="Times New Roman" w:eastAsia="仿宋_GB2312" w:cs="Times New Roman"/>
                <w:b w:val="0"/>
                <w:bCs w:val="0"/>
                <w:color w:val="000000"/>
                <w:sz w:val="21"/>
                <w:szCs w:val="21"/>
                <w:lang w:val="en-US" w:eastAsia="zh-CN"/>
              </w:rPr>
              <w:t>4</w:t>
            </w:r>
          </w:p>
        </w:tc>
        <w:tc>
          <w:tcPr>
            <w:tcW w:w="1201" w:type="dxa"/>
            <w:noWrap w:val="0"/>
            <w:vAlign w:val="center"/>
          </w:tcPr>
          <w:p w14:paraId="53E6302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对“四新”经济包容审慎监管情况</w:t>
            </w:r>
          </w:p>
        </w:tc>
        <w:tc>
          <w:tcPr>
            <w:tcW w:w="2000" w:type="dxa"/>
            <w:noWrap w:val="0"/>
            <w:vAlign w:val="center"/>
          </w:tcPr>
          <w:p w14:paraId="71158BE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出台了对“四新”经济包容审慎监管的一系列惠企利民政策，但是在政策宣传、落实方面做的还不够到位，覆盖面还不够广。</w:t>
            </w:r>
          </w:p>
        </w:tc>
        <w:tc>
          <w:tcPr>
            <w:tcW w:w="6450" w:type="dxa"/>
            <w:noWrap w:val="0"/>
            <w:vAlign w:val="center"/>
          </w:tcPr>
          <w:p w14:paraId="0E43F72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p>
          <w:p w14:paraId="35674C9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①推进涉企行政处罚“免罚、减罚”两张清单，优化行政处罚裁量权适用规则和基准，让企业感受执法“温度”。</w:t>
            </w:r>
          </w:p>
          <w:p w14:paraId="4597DCB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②推进《宁河区市场监督管理局不予实施行政强制措施实施方案》，保护企业特别是初创期中小企业合法权益。</w:t>
            </w:r>
          </w:p>
          <w:p w14:paraId="60FB344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③推动“两书同送”工作新机制，打好行政指导服务牌。将信用修复指导关口前移，指导督促被处罚市场主体履行处罚规定义务、纠正失信行为、消除不良影响，降低失信公示对其在政府采购、招标投标、市场合作等方面的影响，保障信用主体的合法权益。</w:t>
            </w:r>
          </w:p>
          <w:p w14:paraId="0AC388A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color w:val="000000"/>
                <w:sz w:val="21"/>
                <w:szCs w:val="21"/>
                <w:lang w:val="en-US" w:eastAsia="zh-CN"/>
              </w:rPr>
            </w:pPr>
          </w:p>
        </w:tc>
        <w:tc>
          <w:tcPr>
            <w:tcW w:w="1020" w:type="dxa"/>
            <w:noWrap w:val="0"/>
            <w:vAlign w:val="center"/>
          </w:tcPr>
          <w:p w14:paraId="3EC6F2F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2024年</w:t>
            </w:r>
          </w:p>
          <w:p w14:paraId="09296463">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8月底前</w:t>
            </w:r>
          </w:p>
        </w:tc>
        <w:tc>
          <w:tcPr>
            <w:tcW w:w="1367" w:type="dxa"/>
            <w:noWrap w:val="0"/>
            <w:vAlign w:val="center"/>
          </w:tcPr>
          <w:p w14:paraId="3C8484E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pacing w:val="-20"/>
                <w:sz w:val="21"/>
                <w:szCs w:val="21"/>
                <w:lang w:val="en-US" w:eastAsia="zh-CN"/>
              </w:rPr>
              <w:t>区市场监管局</w:t>
            </w:r>
          </w:p>
        </w:tc>
      </w:tr>
      <w:tr w14:paraId="3B7B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71" w:type="dxa"/>
            <w:noWrap w:val="0"/>
            <w:vAlign w:val="center"/>
          </w:tcPr>
          <w:p w14:paraId="63B4AA1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eastAsia="zh-CN"/>
              </w:rPr>
              <w:t>1</w:t>
            </w:r>
            <w:r>
              <w:rPr>
                <w:rFonts w:hint="default" w:ascii="Times New Roman" w:hAnsi="Times New Roman" w:eastAsia="仿宋_GB2312" w:cs="Times New Roman"/>
                <w:b w:val="0"/>
                <w:bCs w:val="0"/>
                <w:sz w:val="21"/>
                <w:szCs w:val="21"/>
                <w:lang w:val="en-US" w:eastAsia="zh-CN"/>
              </w:rPr>
              <w:t>5</w:t>
            </w:r>
          </w:p>
        </w:tc>
        <w:tc>
          <w:tcPr>
            <w:tcW w:w="1201" w:type="dxa"/>
            <w:noWrap w:val="0"/>
            <w:vAlign w:val="center"/>
          </w:tcPr>
          <w:p w14:paraId="26CD63B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产业集聚发展水平及产业链上下游企业协同发展情况</w:t>
            </w:r>
          </w:p>
        </w:tc>
        <w:tc>
          <w:tcPr>
            <w:tcW w:w="2000" w:type="dxa"/>
            <w:noWrap w:val="0"/>
            <w:vAlign w:val="center"/>
          </w:tcPr>
          <w:p w14:paraId="22F0E4D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商贸服务业招展力度不够。</w:t>
            </w:r>
          </w:p>
        </w:tc>
        <w:tc>
          <w:tcPr>
            <w:tcW w:w="6450" w:type="dxa"/>
            <w:noWrap w:val="0"/>
            <w:vAlign w:val="center"/>
          </w:tcPr>
          <w:p w14:paraId="107AD2B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利用津洽会、服贸会、进博会等大型展会平台宣传推介宁河，吸引一批国内外优质项目落户宁河。利用网站、微信平台，对现代产业园区、经济开发区的发展规划、投资环境和优惠政策等方面进行全方位的推介，扩大宣传，提升知名度。</w:t>
            </w:r>
          </w:p>
          <w:p w14:paraId="1A8380F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稳步推进商贸服务领域闲置项目实现资产盘活，现已完成贸易开发区23亩地、家乐购物中心三楼、建设路菜市场、芦阳大厦、朝阳市集5处盘活工作，当前积极推进宁基花园底商盘活，现该底商已与泰悦水疗馆达成初步合作意向。</w:t>
            </w:r>
          </w:p>
          <w:p w14:paraId="59921F4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③推进白云酒店、维也纳酒店等酒店建设，推动田丰宾馆、宁河宾馆等老旧酒店升级，优化营商环境“软实力”助力商贸服务业招商引资工作。</w:t>
            </w:r>
          </w:p>
        </w:tc>
        <w:tc>
          <w:tcPr>
            <w:tcW w:w="1020" w:type="dxa"/>
            <w:noWrap w:val="0"/>
            <w:vAlign w:val="center"/>
          </w:tcPr>
          <w:p w14:paraId="73DDC46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43143534">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54297047">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区商务局</w:t>
            </w:r>
          </w:p>
        </w:tc>
      </w:tr>
      <w:tr w14:paraId="7310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7" w:hRule="atLeast"/>
          <w:jc w:val="center"/>
        </w:trPr>
        <w:tc>
          <w:tcPr>
            <w:tcW w:w="571" w:type="dxa"/>
            <w:vMerge w:val="restart"/>
            <w:noWrap w:val="0"/>
            <w:vAlign w:val="center"/>
          </w:tcPr>
          <w:p w14:paraId="7C322351">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eastAsia="zh-CN"/>
              </w:rPr>
              <w:t>1</w:t>
            </w:r>
            <w:r>
              <w:rPr>
                <w:rFonts w:hint="default" w:ascii="Times New Roman" w:hAnsi="Times New Roman" w:eastAsia="仿宋_GB2312" w:cs="Times New Roman"/>
                <w:b w:val="0"/>
                <w:bCs w:val="0"/>
                <w:sz w:val="21"/>
                <w:szCs w:val="21"/>
                <w:lang w:val="en-US" w:eastAsia="zh-CN"/>
              </w:rPr>
              <w:t>6</w:t>
            </w:r>
          </w:p>
        </w:tc>
        <w:tc>
          <w:tcPr>
            <w:tcW w:w="1201" w:type="dxa"/>
            <w:vMerge w:val="restart"/>
            <w:noWrap w:val="0"/>
            <w:vAlign w:val="center"/>
          </w:tcPr>
          <w:p w14:paraId="4FE4D18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社会治安状况</w:t>
            </w:r>
          </w:p>
        </w:tc>
        <w:tc>
          <w:tcPr>
            <w:tcW w:w="2000" w:type="dxa"/>
            <w:noWrap w:val="0"/>
            <w:vAlign w:val="center"/>
          </w:tcPr>
          <w:p w14:paraId="2F65D47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①重点领域矛盾集中，容易引发群体性信访、越级访等问题。</w:t>
            </w:r>
          </w:p>
        </w:tc>
        <w:tc>
          <w:tcPr>
            <w:tcW w:w="6450" w:type="dxa"/>
            <w:noWrap w:val="0"/>
            <w:vAlign w:val="center"/>
          </w:tcPr>
          <w:p w14:paraId="27E6992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自2024年4月至6月在全区开展矛盾纠纷排查化解专项行动，完善突出风险隐患排查及化解清单、研判确定的重点防范对象清单等相关台账，做到矛盾纠纷源头预防、风险隐患源头防控。</w:t>
            </w:r>
          </w:p>
        </w:tc>
        <w:tc>
          <w:tcPr>
            <w:tcW w:w="1020" w:type="dxa"/>
            <w:vMerge w:val="restart"/>
            <w:noWrap w:val="0"/>
            <w:vAlign w:val="center"/>
          </w:tcPr>
          <w:p w14:paraId="7361AA40">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64A96861">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vMerge w:val="restart"/>
            <w:noWrap w:val="0"/>
            <w:vAlign w:val="center"/>
          </w:tcPr>
          <w:p w14:paraId="7F39D724">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区委政法委</w:t>
            </w:r>
          </w:p>
          <w:p w14:paraId="3971C4A1">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pacing w:val="-20"/>
                <w:sz w:val="21"/>
                <w:szCs w:val="21"/>
                <w:lang w:val="en-US" w:eastAsia="zh-CN"/>
              </w:rPr>
              <w:t>公安宁河分局</w:t>
            </w:r>
          </w:p>
        </w:tc>
      </w:tr>
      <w:tr w14:paraId="5676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571" w:type="dxa"/>
            <w:vMerge w:val="continue"/>
            <w:noWrap w:val="0"/>
            <w:vAlign w:val="center"/>
          </w:tcPr>
          <w:p w14:paraId="5996E045">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rPr>
            </w:pPr>
          </w:p>
        </w:tc>
        <w:tc>
          <w:tcPr>
            <w:tcW w:w="1201" w:type="dxa"/>
            <w:vMerge w:val="continue"/>
            <w:noWrap w:val="0"/>
            <w:vAlign w:val="center"/>
          </w:tcPr>
          <w:p w14:paraId="1DC9EE2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p>
        </w:tc>
        <w:tc>
          <w:tcPr>
            <w:tcW w:w="2000" w:type="dxa"/>
            <w:noWrap w:val="0"/>
            <w:vAlign w:val="center"/>
          </w:tcPr>
          <w:p w14:paraId="31D319B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②电信网络诈骗案件多发高发，成为影响社会稳定的主要因素。</w:t>
            </w:r>
          </w:p>
        </w:tc>
        <w:tc>
          <w:tcPr>
            <w:tcW w:w="6450" w:type="dxa"/>
            <w:noWrap w:val="0"/>
            <w:vAlign w:val="center"/>
          </w:tcPr>
          <w:p w14:paraId="15DF0D00">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rPr>
              <w:t>组织开展打击防范电信网络诈骗案件专项行动，推进公安与金融、通信、检法司、行业监管</w:t>
            </w:r>
            <w:r>
              <w:rPr>
                <w:rFonts w:hint="default" w:ascii="Times New Roman" w:hAnsi="Times New Roman" w:eastAsia="仿宋_GB2312" w:cs="Times New Roman"/>
                <w:b w:val="0"/>
                <w:bCs w:val="0"/>
                <w:sz w:val="21"/>
                <w:szCs w:val="21"/>
                <w:lang w:eastAsia="zh-CN"/>
              </w:rPr>
              <w:t>、属地街镇</w:t>
            </w:r>
            <w:r>
              <w:rPr>
                <w:rFonts w:hint="default" w:ascii="Times New Roman" w:hAnsi="Times New Roman" w:eastAsia="仿宋_GB2312" w:cs="Times New Roman"/>
                <w:b w:val="0"/>
                <w:bCs w:val="0"/>
                <w:sz w:val="21"/>
                <w:szCs w:val="21"/>
              </w:rPr>
              <w:t>等</w:t>
            </w:r>
            <w:r>
              <w:rPr>
                <w:rFonts w:hint="default" w:ascii="Times New Roman" w:hAnsi="Times New Roman" w:eastAsia="仿宋_GB2312" w:cs="Times New Roman"/>
                <w:b w:val="0"/>
                <w:bCs w:val="0"/>
                <w:sz w:val="21"/>
                <w:szCs w:val="21"/>
                <w:lang w:eastAsia="zh-CN"/>
              </w:rPr>
              <w:t>单位</w:t>
            </w:r>
            <w:r>
              <w:rPr>
                <w:rFonts w:hint="default" w:ascii="Times New Roman" w:hAnsi="Times New Roman" w:eastAsia="仿宋_GB2312" w:cs="Times New Roman"/>
                <w:b w:val="0"/>
                <w:bCs w:val="0"/>
                <w:sz w:val="21"/>
                <w:szCs w:val="21"/>
              </w:rPr>
              <w:t>的协作机制，</w:t>
            </w:r>
            <w:r>
              <w:rPr>
                <w:rFonts w:hint="default" w:ascii="Times New Roman" w:hAnsi="Times New Roman" w:eastAsia="仿宋_GB2312" w:cs="Times New Roman"/>
                <w:b w:val="0"/>
                <w:bCs w:val="0"/>
                <w:sz w:val="21"/>
                <w:szCs w:val="21"/>
                <w:lang w:eastAsia="zh-CN"/>
              </w:rPr>
              <w:t>实现</w:t>
            </w:r>
            <w:r>
              <w:rPr>
                <w:rFonts w:hint="default" w:ascii="Times New Roman" w:hAnsi="Times New Roman" w:eastAsia="仿宋_GB2312" w:cs="Times New Roman"/>
                <w:b w:val="0"/>
                <w:bCs w:val="0"/>
                <w:sz w:val="21"/>
                <w:szCs w:val="21"/>
              </w:rPr>
              <w:t>电信网络诈骗案件发案及损失</w:t>
            </w:r>
            <w:r>
              <w:rPr>
                <w:rFonts w:hint="default" w:ascii="Times New Roman" w:hAnsi="Times New Roman" w:eastAsia="仿宋_GB2312" w:cs="Times New Roman"/>
                <w:b w:val="0"/>
                <w:bCs w:val="0"/>
                <w:sz w:val="21"/>
                <w:szCs w:val="21"/>
                <w:lang w:eastAsia="zh-CN"/>
              </w:rPr>
              <w:t>“双下降”的</w:t>
            </w:r>
            <w:r>
              <w:rPr>
                <w:rFonts w:hint="default" w:ascii="Times New Roman" w:hAnsi="Times New Roman" w:eastAsia="仿宋_GB2312" w:cs="Times New Roman"/>
                <w:b w:val="0"/>
                <w:bCs w:val="0"/>
                <w:sz w:val="21"/>
                <w:szCs w:val="21"/>
              </w:rPr>
              <w:t>目标</w:t>
            </w:r>
            <w:r>
              <w:rPr>
                <w:rFonts w:hint="default" w:ascii="Times New Roman" w:hAnsi="Times New Roman" w:eastAsia="仿宋_GB2312" w:cs="Times New Roman"/>
                <w:b w:val="0"/>
                <w:bCs w:val="0"/>
                <w:sz w:val="21"/>
                <w:szCs w:val="21"/>
                <w:lang w:eastAsia="zh-CN"/>
              </w:rPr>
              <w:t>。</w:t>
            </w:r>
          </w:p>
        </w:tc>
        <w:tc>
          <w:tcPr>
            <w:tcW w:w="1020" w:type="dxa"/>
            <w:vMerge w:val="continue"/>
            <w:noWrap w:val="0"/>
            <w:vAlign w:val="center"/>
          </w:tcPr>
          <w:p w14:paraId="461FD451">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15B1270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5FDA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571" w:type="dxa"/>
            <w:noWrap w:val="0"/>
            <w:vAlign w:val="center"/>
          </w:tcPr>
          <w:p w14:paraId="3574400B">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rPr>
            </w:pPr>
            <w:r>
              <w:rPr>
                <w:rFonts w:hint="default" w:ascii="Times New Roman" w:hAnsi="Times New Roman" w:eastAsia="仿宋_GB2312" w:cs="Times New Roman"/>
                <w:b w:val="0"/>
                <w:bCs w:val="0"/>
                <w:sz w:val="21"/>
                <w:szCs w:val="21"/>
                <w:lang w:val="en-US" w:eastAsia="zh-CN"/>
              </w:rPr>
              <w:t>17</w:t>
            </w:r>
          </w:p>
        </w:tc>
        <w:tc>
          <w:tcPr>
            <w:tcW w:w="1201" w:type="dxa"/>
            <w:noWrap w:val="0"/>
            <w:vAlign w:val="center"/>
          </w:tcPr>
          <w:p w14:paraId="46EF770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r>
              <w:rPr>
                <w:rFonts w:hint="default" w:ascii="Times New Roman" w:hAnsi="Times New Roman" w:eastAsia="仿宋_GB2312" w:cs="Times New Roman"/>
                <w:b w:val="0"/>
                <w:bCs w:val="0"/>
                <w:sz w:val="21"/>
                <w:szCs w:val="21"/>
                <w:lang w:val="en-US" w:eastAsia="zh-CN"/>
              </w:rPr>
              <w:t>创新人才引进、培育力度</w:t>
            </w:r>
          </w:p>
        </w:tc>
        <w:tc>
          <w:tcPr>
            <w:tcW w:w="2000" w:type="dxa"/>
            <w:noWrap w:val="0"/>
            <w:vAlign w:val="center"/>
          </w:tcPr>
          <w:p w14:paraId="3D8D284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人才引育力度不够，创新招法不足。</w:t>
            </w:r>
          </w:p>
        </w:tc>
        <w:tc>
          <w:tcPr>
            <w:tcW w:w="6450" w:type="dxa"/>
            <w:noWrap w:val="0"/>
            <w:vAlign w:val="center"/>
          </w:tcPr>
          <w:p w14:paraId="0B11B97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①修订完善“1+N”人才政策，深入实施“海河英才”行动计划升级版，全年引入各类人才不少于300人。</w:t>
            </w:r>
          </w:p>
          <w:p w14:paraId="6C351C4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②赴北京大学举办“海河英才·智汇宁河”2024年招才引智宣讲推介招聘会，积极组织开展京津冀联合专场招聘会、高校青年人才宁河行等活动，举办企业经营管理人才国情研修班，加强人才引育力度。</w:t>
            </w:r>
          </w:p>
          <w:p w14:paraId="3D4E075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r>
              <w:rPr>
                <w:rFonts w:hint="default" w:ascii="Times New Roman" w:hAnsi="Times New Roman" w:eastAsia="仿宋_GB2312" w:cs="Times New Roman"/>
                <w:b w:val="0"/>
                <w:bCs w:val="0"/>
                <w:sz w:val="21"/>
                <w:szCs w:val="21"/>
                <w:lang w:val="en-US" w:eastAsia="zh-CN"/>
              </w:rPr>
              <w:t>③涵养人才生态。开展党委（党组）联系服务专家工作，策划京津冀青年集体婚礼。</w:t>
            </w:r>
          </w:p>
        </w:tc>
        <w:tc>
          <w:tcPr>
            <w:tcW w:w="1020" w:type="dxa"/>
            <w:noWrap w:val="0"/>
            <w:vAlign w:val="center"/>
          </w:tcPr>
          <w:p w14:paraId="596ECFB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3DC4B035">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1D268D96">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区委组织部区人社局</w:t>
            </w:r>
          </w:p>
        </w:tc>
      </w:tr>
      <w:tr w14:paraId="341C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571" w:type="dxa"/>
            <w:noWrap w:val="0"/>
            <w:vAlign w:val="center"/>
          </w:tcPr>
          <w:p w14:paraId="6605118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18</w:t>
            </w:r>
          </w:p>
        </w:tc>
        <w:tc>
          <w:tcPr>
            <w:tcW w:w="1201" w:type="dxa"/>
            <w:noWrap w:val="0"/>
            <w:vAlign w:val="center"/>
          </w:tcPr>
          <w:p w14:paraId="571621C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创新人才配偶就业、子女入学、住房保障等服务</w:t>
            </w:r>
          </w:p>
        </w:tc>
        <w:tc>
          <w:tcPr>
            <w:tcW w:w="2000" w:type="dxa"/>
            <w:noWrap w:val="0"/>
            <w:vAlign w:val="center"/>
          </w:tcPr>
          <w:p w14:paraId="2DE9BD6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截至2022年12月底，本地区60周岁及以上户籍老龄人口每千人拥有护理型养老机构（含日托）床位数为0.59 张，与天津市平均值相比（28.41 张），仍有较大差距，需进一步完善提升。</w:t>
            </w:r>
          </w:p>
        </w:tc>
        <w:tc>
          <w:tcPr>
            <w:tcW w:w="6450" w:type="dxa"/>
            <w:noWrap w:val="0"/>
            <w:vAlign w:val="center"/>
          </w:tcPr>
          <w:p w14:paraId="58493455">
            <w:pPr>
              <w:keepNext w:val="0"/>
              <w:keepLines w:val="0"/>
              <w:pageBreakBefore w:val="0"/>
              <w:kinsoku/>
              <w:wordWrap/>
              <w:overflowPunct/>
              <w:topLinePunct w:val="0"/>
              <w:autoSpaceDE/>
              <w:autoSpaceDN/>
              <w:bidi w:val="0"/>
              <w:adjustRightInd/>
              <w:snapToGrid/>
              <w:jc w:val="both"/>
              <w:rPr>
                <w:rFonts w:hint="default" w:ascii="Times New Roman" w:hAnsi="Times New Roman" w:eastAsia="仿宋_GB2312" w:cs="Times New Roman"/>
                <w:b w:val="0"/>
                <w:bCs w:val="0"/>
                <w:sz w:val="21"/>
                <w:szCs w:val="21"/>
                <w:lang w:val="en-US" w:eastAsia="zh-CN"/>
              </w:rPr>
            </w:pPr>
          </w:p>
          <w:p w14:paraId="60098694">
            <w:pPr>
              <w:keepNext w:val="0"/>
              <w:keepLines w:val="0"/>
              <w:pageBreakBefore w:val="0"/>
              <w:kinsoku/>
              <w:wordWrap/>
              <w:overflowPunct/>
              <w:topLinePunct w:val="0"/>
              <w:autoSpaceDE/>
              <w:autoSpaceDN/>
              <w:bidi w:val="0"/>
              <w:adjustRightInd/>
              <w:snapToGrid/>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①聚焦社会上失能老年人的照护需求，优先支持新增护理型床位，提升养老机构长期照护服务能力。</w:t>
            </w:r>
          </w:p>
          <w:p w14:paraId="04D7CF0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②推动福源养老院、天年园老年公寓年内新增护理型床位50张、机构护理型床位总数达105张。</w:t>
            </w:r>
          </w:p>
          <w:p w14:paraId="1A680AC0">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③推动芦台、桥北、潘庄、俵口等镇街级养老服务综合体提升护理型床位比例，鼓励恒大嵌入式综合体设置护理型床位，年内预计新增护理型床位81张。</w:t>
            </w:r>
          </w:p>
          <w:p w14:paraId="1DAB8A9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④鼓励街镇卫生院因时制宜设置护理型养老床位，预计年内新增医养结合护理型床位50张。年内新增护理型床位总数181张，全区护理型养老床位总数达236张。本区60周岁及以上户籍老龄人口每千人拥有护理型养老机构（不含日托）床位数为2.36 张。</w:t>
            </w:r>
          </w:p>
          <w:p w14:paraId="5E52910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noWrap w:val="0"/>
            <w:vAlign w:val="center"/>
          </w:tcPr>
          <w:p w14:paraId="07A5B0C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7EDB0CE5">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3BD2F5F0">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区民政局</w:t>
            </w:r>
          </w:p>
        </w:tc>
      </w:tr>
      <w:tr w14:paraId="31B5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 w:hRule="atLeast"/>
          <w:jc w:val="center"/>
        </w:trPr>
        <w:tc>
          <w:tcPr>
            <w:tcW w:w="571" w:type="dxa"/>
            <w:vMerge w:val="restart"/>
            <w:noWrap w:val="0"/>
            <w:vAlign w:val="center"/>
          </w:tcPr>
          <w:p w14:paraId="7002B6F7">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19</w:t>
            </w:r>
          </w:p>
        </w:tc>
        <w:tc>
          <w:tcPr>
            <w:tcW w:w="1201" w:type="dxa"/>
            <w:vMerge w:val="restart"/>
            <w:noWrap w:val="0"/>
            <w:vAlign w:val="center"/>
          </w:tcPr>
          <w:p w14:paraId="6F1039D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公共法律服务开展情况</w:t>
            </w:r>
          </w:p>
        </w:tc>
        <w:tc>
          <w:tcPr>
            <w:tcW w:w="2000" w:type="dxa"/>
            <w:noWrap w:val="0"/>
            <w:vAlign w:val="center"/>
          </w:tcPr>
          <w:p w14:paraId="2F782A8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①律所入驻“暖企驿站”工作推动有待进一步加强。</w:t>
            </w:r>
          </w:p>
        </w:tc>
        <w:tc>
          <w:tcPr>
            <w:tcW w:w="6450" w:type="dxa"/>
            <w:noWrap w:val="0"/>
            <w:vAlign w:val="center"/>
          </w:tcPr>
          <w:p w14:paraId="0B56816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在18家“暖企驿站”打造“企业吹哨、律师报到”法律服务工作站品牌，为企业经营提供法律支持</w:t>
            </w:r>
            <w:r>
              <w:rPr>
                <w:rFonts w:hint="default" w:ascii="Times New Roman" w:hAnsi="Times New Roman" w:eastAsia="仿宋_GB2312" w:cs="Times New Roman"/>
                <w:b w:val="0"/>
                <w:bCs w:val="0"/>
                <w:sz w:val="21"/>
                <w:szCs w:val="21"/>
                <w:lang w:eastAsia="zh-CN"/>
              </w:rPr>
              <w:t>。</w:t>
            </w:r>
          </w:p>
        </w:tc>
        <w:tc>
          <w:tcPr>
            <w:tcW w:w="1020" w:type="dxa"/>
            <w:vMerge w:val="restart"/>
            <w:noWrap w:val="0"/>
            <w:vAlign w:val="center"/>
          </w:tcPr>
          <w:p w14:paraId="6366DBB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26FB25B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8月底前</w:t>
            </w:r>
          </w:p>
        </w:tc>
        <w:tc>
          <w:tcPr>
            <w:tcW w:w="1367" w:type="dxa"/>
            <w:vMerge w:val="restart"/>
            <w:noWrap w:val="0"/>
            <w:vAlign w:val="center"/>
          </w:tcPr>
          <w:p w14:paraId="60A20228">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区司法局</w:t>
            </w:r>
          </w:p>
        </w:tc>
      </w:tr>
      <w:tr w14:paraId="32E4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 w:hRule="atLeast"/>
          <w:jc w:val="center"/>
        </w:trPr>
        <w:tc>
          <w:tcPr>
            <w:tcW w:w="571" w:type="dxa"/>
            <w:vMerge w:val="continue"/>
            <w:noWrap w:val="0"/>
            <w:vAlign w:val="center"/>
          </w:tcPr>
          <w:p w14:paraId="05B39EE0">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rPr>
            </w:pPr>
          </w:p>
        </w:tc>
        <w:tc>
          <w:tcPr>
            <w:tcW w:w="1201" w:type="dxa"/>
            <w:vMerge w:val="continue"/>
            <w:noWrap w:val="0"/>
            <w:vAlign w:val="center"/>
          </w:tcPr>
          <w:p w14:paraId="63E669F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rPr>
            </w:pPr>
          </w:p>
        </w:tc>
        <w:tc>
          <w:tcPr>
            <w:tcW w:w="2000" w:type="dxa"/>
            <w:noWrap w:val="0"/>
            <w:vAlign w:val="center"/>
          </w:tcPr>
          <w:p w14:paraId="6A1ACD4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②镇级公共法律服务水平和能力有待进一步加强。</w:t>
            </w:r>
          </w:p>
        </w:tc>
        <w:tc>
          <w:tcPr>
            <w:tcW w:w="6450" w:type="dxa"/>
            <w:noWrap w:val="0"/>
            <w:vAlign w:val="center"/>
          </w:tcPr>
          <w:p w14:paraId="26C8BF6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06D07385">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积极推动18家单位</w:t>
            </w:r>
            <w:r>
              <w:rPr>
                <w:rFonts w:hint="default" w:ascii="Times New Roman" w:hAnsi="Times New Roman" w:eastAsia="仿宋_GB2312" w:cs="Times New Roman"/>
                <w:b w:val="0"/>
                <w:bCs w:val="0"/>
                <w:sz w:val="21"/>
                <w:szCs w:val="21"/>
                <w:lang w:val="en" w:eastAsia="zh-CN"/>
              </w:rPr>
              <w:t>的</w:t>
            </w:r>
            <w:r>
              <w:rPr>
                <w:rFonts w:hint="default" w:ascii="Times New Roman" w:hAnsi="Times New Roman" w:eastAsia="仿宋_GB2312" w:cs="Times New Roman"/>
                <w:b w:val="0"/>
                <w:bCs w:val="0"/>
                <w:sz w:val="21"/>
                <w:szCs w:val="21"/>
                <w:lang w:val="en-US" w:eastAsia="zh-CN"/>
              </w:rPr>
              <w:t>42名公职律师和10家律师事务所进驻7个镇级公共法律服务工作站值班轮岗，各工作站专门设置工位，采用“值班制+预约制”模式，每周有专业人员提供法律咨询、法治宣传、纠纷调解。</w:t>
            </w:r>
          </w:p>
          <w:p w14:paraId="407D369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vMerge w:val="continue"/>
            <w:noWrap w:val="0"/>
            <w:vAlign w:val="center"/>
          </w:tcPr>
          <w:p w14:paraId="7D4F504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59650F61">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638C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 w:hRule="atLeast"/>
          <w:jc w:val="center"/>
        </w:trPr>
        <w:tc>
          <w:tcPr>
            <w:tcW w:w="571" w:type="dxa"/>
            <w:vMerge w:val="continue"/>
            <w:noWrap w:val="0"/>
            <w:vAlign w:val="center"/>
          </w:tcPr>
          <w:p w14:paraId="18AEC6F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201" w:type="dxa"/>
            <w:vMerge w:val="continue"/>
            <w:noWrap w:val="0"/>
            <w:vAlign w:val="center"/>
          </w:tcPr>
          <w:p w14:paraId="238E26B2">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2000" w:type="dxa"/>
            <w:noWrap w:val="0"/>
            <w:vAlign w:val="center"/>
          </w:tcPr>
          <w:p w14:paraId="51D79AF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pacing w:val="-6"/>
                <w:sz w:val="21"/>
                <w:szCs w:val="21"/>
                <w:lang w:val="en-US" w:eastAsia="zh-CN"/>
              </w:rPr>
              <w:t>③发挥公职律师作用参与公共法律服务需进一步强化。</w:t>
            </w:r>
          </w:p>
        </w:tc>
        <w:tc>
          <w:tcPr>
            <w:tcW w:w="6450" w:type="dxa"/>
            <w:noWrap w:val="0"/>
            <w:vAlign w:val="center"/>
          </w:tcPr>
          <w:p w14:paraId="5A616D9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0351A4E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召开全区公职律师工作会议，对公职律师进行培训，将全区各单位公职律师充实到镇级公共法律服务站试点，轮流值班开展为群众无偿提供法律服务工作。</w:t>
            </w:r>
          </w:p>
          <w:p w14:paraId="502425C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vMerge w:val="continue"/>
            <w:noWrap w:val="0"/>
            <w:vAlign w:val="center"/>
          </w:tcPr>
          <w:p w14:paraId="7ACC8D75">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57CEBD12">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4958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2" w:hRule="atLeast"/>
          <w:jc w:val="center"/>
        </w:trPr>
        <w:tc>
          <w:tcPr>
            <w:tcW w:w="571" w:type="dxa"/>
            <w:noWrap w:val="0"/>
            <w:vAlign w:val="center"/>
          </w:tcPr>
          <w:p w14:paraId="7833C125">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20</w:t>
            </w:r>
          </w:p>
        </w:tc>
        <w:tc>
          <w:tcPr>
            <w:tcW w:w="1201" w:type="dxa"/>
            <w:noWrap w:val="0"/>
            <w:vAlign w:val="center"/>
          </w:tcPr>
          <w:p w14:paraId="2E8D9CE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减少侦查办案的影响</w:t>
            </w:r>
          </w:p>
        </w:tc>
        <w:tc>
          <w:tcPr>
            <w:tcW w:w="2000" w:type="dxa"/>
            <w:noWrap w:val="0"/>
            <w:vAlign w:val="center"/>
          </w:tcPr>
          <w:p w14:paraId="4CB4FD6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缺乏与有关部门沟通协调，忽视涉案民营企业关于生产经营衔接工作的困境。</w:t>
            </w:r>
          </w:p>
        </w:tc>
        <w:tc>
          <w:tcPr>
            <w:tcW w:w="6450" w:type="dxa"/>
            <w:noWrap w:val="0"/>
            <w:vAlign w:val="center"/>
          </w:tcPr>
          <w:p w14:paraId="685C957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lang w:val="en-US" w:eastAsia="zh-CN"/>
              </w:rPr>
              <w:t>①</w:t>
            </w:r>
            <w:r>
              <w:rPr>
                <w:rFonts w:hint="default" w:ascii="Times New Roman" w:hAnsi="Times New Roman" w:eastAsia="仿宋_GB2312" w:cs="Times New Roman"/>
                <w:b w:val="0"/>
                <w:bCs w:val="0"/>
                <w:sz w:val="21"/>
                <w:szCs w:val="21"/>
                <w:highlight w:val="none"/>
                <w:lang w:val="en-US" w:eastAsia="zh-CN"/>
              </w:rPr>
              <w:t>开展涉企案件羁押必要性审查，审慎适用羁押性强制措施，准确把握逮捕条件，加强对社会危险性的审查，对符合逮捕条件确有逮捕必要的，依法批准或者决定逮捕的案件，适时开展羁押必要性审查。</w:t>
            </w:r>
          </w:p>
          <w:p w14:paraId="6F446AA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lang w:val="en-US" w:eastAsia="zh-CN"/>
              </w:rPr>
              <w:t>②</w:t>
            </w:r>
            <w:r>
              <w:rPr>
                <w:rFonts w:hint="default" w:ascii="Times New Roman" w:hAnsi="Times New Roman" w:eastAsia="仿宋_GB2312" w:cs="Times New Roman"/>
                <w:b w:val="0"/>
                <w:bCs w:val="0"/>
                <w:sz w:val="21"/>
                <w:szCs w:val="21"/>
                <w:highlight w:val="none"/>
                <w:lang w:val="en-US" w:eastAsia="zh-CN"/>
              </w:rPr>
              <w:t>开展刑事审判及执行专项监督和涉企人员社区矫正外出管理专项监督。</w:t>
            </w:r>
          </w:p>
          <w:p w14:paraId="0F6A47B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③通过制发检察建议，帮助涉案企业找出经营管理漏洞，促进企业守法合规经营。</w:t>
            </w:r>
          </w:p>
          <w:p w14:paraId="43778A0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④加强对涉企民事生效裁判和执行案件的监督，重点对不正当竞争民事纠纷案件、涉企虚假诉讼案件、涉企担保纠纷等进行监督。加强对法院民事案件超权限、超范围、超数额、超时限查封、扣押、冻结企业。</w:t>
            </w:r>
          </w:p>
          <w:p w14:paraId="4F65EB1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lang w:val="en-US" w:eastAsia="zh-CN"/>
              </w:rPr>
              <w:t>⑤发挥“法治会客厅”和“暖企驿站”桥梁纽带作用，落实与工商联定期联系、会商研判、协调联动等制度机制，做实检企共建。</w:t>
            </w:r>
          </w:p>
        </w:tc>
        <w:tc>
          <w:tcPr>
            <w:tcW w:w="1020" w:type="dxa"/>
            <w:noWrap w:val="0"/>
            <w:vAlign w:val="center"/>
          </w:tcPr>
          <w:p w14:paraId="738C81B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2024年</w:t>
            </w:r>
          </w:p>
          <w:p w14:paraId="0885E2A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10月底前</w:t>
            </w:r>
          </w:p>
        </w:tc>
        <w:tc>
          <w:tcPr>
            <w:tcW w:w="1367" w:type="dxa"/>
            <w:noWrap w:val="0"/>
            <w:vAlign w:val="center"/>
          </w:tcPr>
          <w:p w14:paraId="59838B25">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区检察院</w:t>
            </w:r>
          </w:p>
        </w:tc>
      </w:tr>
    </w:tbl>
    <w:p w14:paraId="63E47686">
      <w:pPr>
        <w:rPr>
          <w:rFonts w:hint="default" w:ascii="Times New Roman" w:hAnsi="Times New Roman" w:eastAsia="宋体" w:cs="Times New Roman"/>
          <w:b w:val="0"/>
          <w:bCs w:val="0"/>
        </w:rPr>
      </w:pPr>
    </w:p>
    <w:p w14:paraId="4673F82C">
      <w:pPr>
        <w:rPr>
          <w:rFonts w:hint="default" w:ascii="Times New Roman" w:hAnsi="Times New Roman" w:eastAsia="宋体" w:cs="Times New Roman"/>
          <w:lang w:val="en-US" w:eastAsia="zh-CN"/>
        </w:rPr>
      </w:pPr>
    </w:p>
    <w:p w14:paraId="0C5C1824">
      <w:pPr>
        <w:rPr>
          <w:rFonts w:hint="default" w:ascii="Times New Roman" w:hAnsi="Times New Roman" w:eastAsia="宋体" w:cs="Times New Roman"/>
          <w:lang w:val="en-US" w:eastAsia="zh-CN"/>
        </w:rPr>
      </w:pPr>
    </w:p>
    <w:p w14:paraId="4435FC0F">
      <w:pPr>
        <w:spacing w:line="560" w:lineRule="exact"/>
        <w:rPr>
          <w:rFonts w:hint="default" w:ascii="Times New Roman" w:hAnsi="Times New Roman" w:eastAsia="仿宋_GB2312" w:cs="Times New Roman"/>
          <w:sz w:val="28"/>
          <w:szCs w:val="28"/>
        </w:rPr>
      </w:pPr>
    </w:p>
    <w:p w14:paraId="647C8105">
      <w:pPr>
        <w:spacing w:line="560" w:lineRule="exact"/>
        <w:rPr>
          <w:rFonts w:hint="default" w:ascii="Times New Roman" w:hAnsi="Times New Roman" w:eastAsia="仿宋_GB2312" w:cs="Times New Roman"/>
          <w:sz w:val="28"/>
          <w:szCs w:val="28"/>
        </w:rPr>
      </w:pPr>
    </w:p>
    <w:p w14:paraId="39615A6E">
      <w:pPr>
        <w:spacing w:line="20" w:lineRule="exact"/>
        <w:rPr>
          <w:rFonts w:hint="default" w:ascii="Times New Roman" w:hAnsi="Times New Roman" w:eastAsia="仿宋_GB2312" w:cs="Times New Roman"/>
          <w:sz w:val="32"/>
          <w:szCs w:val="32"/>
        </w:rPr>
      </w:pPr>
    </w:p>
    <w:p w14:paraId="6DDE94F0">
      <w:pPr>
        <w:spacing w:line="20" w:lineRule="exact"/>
        <w:rPr>
          <w:rFonts w:hint="default" w:ascii="Times New Roman" w:hAnsi="Times New Roman" w:eastAsia="仿宋_GB2312" w:cs="Times New Roman"/>
          <w:sz w:val="32"/>
          <w:szCs w:val="32"/>
          <w:lang w:val="en-US" w:eastAsia="zh-CN"/>
        </w:rPr>
      </w:pPr>
    </w:p>
    <w:p w14:paraId="05E9027B">
      <w:pPr>
        <w:spacing w:line="20" w:lineRule="exact"/>
        <w:rPr>
          <w:rFonts w:hint="default" w:ascii="Times New Roman" w:hAnsi="Times New Roman" w:eastAsia="仿宋_GB2312" w:cs="Times New Roman"/>
          <w:sz w:val="32"/>
          <w:szCs w:val="32"/>
          <w:lang w:val="en-US" w:eastAsia="zh-CN"/>
        </w:rPr>
      </w:pPr>
    </w:p>
    <w:p w14:paraId="6D0050C0">
      <w:pPr>
        <w:spacing w:line="20" w:lineRule="exact"/>
        <w:rPr>
          <w:rFonts w:hint="default" w:ascii="Times New Roman" w:hAnsi="Times New Roman" w:eastAsia="仿宋_GB2312" w:cs="Times New Roman"/>
          <w:sz w:val="32"/>
          <w:szCs w:val="32"/>
          <w:lang w:val="en-US" w:eastAsia="zh-CN"/>
        </w:rPr>
      </w:pPr>
    </w:p>
    <w:sectPr>
      <w:headerReference r:id="rId3" w:type="default"/>
      <w:footerReference r:id="rId4" w:type="default"/>
      <w:pgSz w:w="16838" w:h="11906" w:orient="landscape"/>
      <w:pgMar w:top="1587" w:right="2098" w:bottom="1474" w:left="198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F2A4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A6404">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AA6404">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33A00">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ABED7ABB"/>
    <w:rsid w:val="01A06E9D"/>
    <w:rsid w:val="026420DC"/>
    <w:rsid w:val="027C3C34"/>
    <w:rsid w:val="04904FA7"/>
    <w:rsid w:val="055EFDA1"/>
    <w:rsid w:val="056F1060"/>
    <w:rsid w:val="08534C69"/>
    <w:rsid w:val="099312A7"/>
    <w:rsid w:val="0CD564C9"/>
    <w:rsid w:val="0D7F2888"/>
    <w:rsid w:val="0E664FCA"/>
    <w:rsid w:val="0EEF120A"/>
    <w:rsid w:val="0FADAC27"/>
    <w:rsid w:val="11447845"/>
    <w:rsid w:val="132B7955"/>
    <w:rsid w:val="13985C26"/>
    <w:rsid w:val="143811B7"/>
    <w:rsid w:val="15A46B04"/>
    <w:rsid w:val="198D2C7C"/>
    <w:rsid w:val="19D11E91"/>
    <w:rsid w:val="1AAC0209"/>
    <w:rsid w:val="1B284903"/>
    <w:rsid w:val="1BC33A5C"/>
    <w:rsid w:val="1D6999CF"/>
    <w:rsid w:val="1F9766E9"/>
    <w:rsid w:val="1FF830DF"/>
    <w:rsid w:val="22CA37E5"/>
    <w:rsid w:val="22FAB78A"/>
    <w:rsid w:val="252569C9"/>
    <w:rsid w:val="255120D8"/>
    <w:rsid w:val="26EFDEB6"/>
    <w:rsid w:val="26FA0F87"/>
    <w:rsid w:val="299F76EB"/>
    <w:rsid w:val="2CF583CD"/>
    <w:rsid w:val="30321607"/>
    <w:rsid w:val="34DE5700"/>
    <w:rsid w:val="3703520D"/>
    <w:rsid w:val="373AA449"/>
    <w:rsid w:val="379FAAAE"/>
    <w:rsid w:val="37FF3E83"/>
    <w:rsid w:val="38BD5663"/>
    <w:rsid w:val="39FB1113"/>
    <w:rsid w:val="3B8F4963"/>
    <w:rsid w:val="3E481E73"/>
    <w:rsid w:val="3E7DA229"/>
    <w:rsid w:val="3FEB54B5"/>
    <w:rsid w:val="43CE2E1A"/>
    <w:rsid w:val="44D501D8"/>
    <w:rsid w:val="44EE129A"/>
    <w:rsid w:val="47E90CDD"/>
    <w:rsid w:val="481728B6"/>
    <w:rsid w:val="49C820BA"/>
    <w:rsid w:val="4BDFCE23"/>
    <w:rsid w:val="4D461C73"/>
    <w:rsid w:val="4D9B91BD"/>
    <w:rsid w:val="4FAFED26"/>
    <w:rsid w:val="4FEE3C3F"/>
    <w:rsid w:val="50C730CB"/>
    <w:rsid w:val="56DF594B"/>
    <w:rsid w:val="57EF5136"/>
    <w:rsid w:val="5BC565B7"/>
    <w:rsid w:val="5BEAC3F5"/>
    <w:rsid w:val="5C3BB719"/>
    <w:rsid w:val="5C83736F"/>
    <w:rsid w:val="5CFBED32"/>
    <w:rsid w:val="5D5F67AE"/>
    <w:rsid w:val="5DFF5EFB"/>
    <w:rsid w:val="5E771FC7"/>
    <w:rsid w:val="5EFFD41E"/>
    <w:rsid w:val="5F6D9CA5"/>
    <w:rsid w:val="5FBFC3A9"/>
    <w:rsid w:val="5FD76366"/>
    <w:rsid w:val="5FF7458E"/>
    <w:rsid w:val="5FFFC6BA"/>
    <w:rsid w:val="607F3955"/>
    <w:rsid w:val="60CC19D1"/>
    <w:rsid w:val="63513261"/>
    <w:rsid w:val="63F7EC78"/>
    <w:rsid w:val="64BFA266"/>
    <w:rsid w:val="64EA65BF"/>
    <w:rsid w:val="65A840EC"/>
    <w:rsid w:val="65E87914"/>
    <w:rsid w:val="66B31BC3"/>
    <w:rsid w:val="67FEC597"/>
    <w:rsid w:val="69AE2C22"/>
    <w:rsid w:val="6BBD714D"/>
    <w:rsid w:val="6BFF0201"/>
    <w:rsid w:val="6CAF94E1"/>
    <w:rsid w:val="6CF771F1"/>
    <w:rsid w:val="6DDDC985"/>
    <w:rsid w:val="6EF9DB0E"/>
    <w:rsid w:val="6F5C4ECE"/>
    <w:rsid w:val="6FAEA7BF"/>
    <w:rsid w:val="6FE6CDA2"/>
    <w:rsid w:val="6FF87930"/>
    <w:rsid w:val="6FFB2C3A"/>
    <w:rsid w:val="6FFF635A"/>
    <w:rsid w:val="70B52AE8"/>
    <w:rsid w:val="735D572F"/>
    <w:rsid w:val="73FBD9C0"/>
    <w:rsid w:val="74EE39D7"/>
    <w:rsid w:val="76DF01F6"/>
    <w:rsid w:val="77DED212"/>
    <w:rsid w:val="77DF194F"/>
    <w:rsid w:val="77FE9589"/>
    <w:rsid w:val="78670B6C"/>
    <w:rsid w:val="796E5F2A"/>
    <w:rsid w:val="797F4B44"/>
    <w:rsid w:val="7B17BA7D"/>
    <w:rsid w:val="7B7DC4C0"/>
    <w:rsid w:val="7BFF67B3"/>
    <w:rsid w:val="7C8AD8D4"/>
    <w:rsid w:val="7CA731A1"/>
    <w:rsid w:val="7CB7AD85"/>
    <w:rsid w:val="7CBE7128"/>
    <w:rsid w:val="7CD7FEAB"/>
    <w:rsid w:val="7DEC3DB7"/>
    <w:rsid w:val="7DF96CD2"/>
    <w:rsid w:val="7DFF555C"/>
    <w:rsid w:val="7EBF1EE7"/>
    <w:rsid w:val="7EE74BF9"/>
    <w:rsid w:val="7F1BB3C1"/>
    <w:rsid w:val="7F36B2CA"/>
    <w:rsid w:val="7F767DB5"/>
    <w:rsid w:val="7F97DD1C"/>
    <w:rsid w:val="7FAECD3B"/>
    <w:rsid w:val="7FAF94ED"/>
    <w:rsid w:val="7FBCD09E"/>
    <w:rsid w:val="7FDFE329"/>
    <w:rsid w:val="7FEE13F2"/>
    <w:rsid w:val="7FF21C19"/>
    <w:rsid w:val="7FF73FA0"/>
    <w:rsid w:val="7FFB050A"/>
    <w:rsid w:val="7FFD5ECC"/>
    <w:rsid w:val="7FFD89F3"/>
    <w:rsid w:val="7FFF8942"/>
    <w:rsid w:val="7FFFBBD9"/>
    <w:rsid w:val="7FFFE71F"/>
    <w:rsid w:val="81B730FD"/>
    <w:rsid w:val="8BFFC54F"/>
    <w:rsid w:val="9BB71F77"/>
    <w:rsid w:val="9F7AA8CB"/>
    <w:rsid w:val="A7AB3D4B"/>
    <w:rsid w:val="ABED7ABB"/>
    <w:rsid w:val="ACD32972"/>
    <w:rsid w:val="AFF7EC7B"/>
    <w:rsid w:val="AFF7EE1E"/>
    <w:rsid w:val="B4FC83C3"/>
    <w:rsid w:val="B7EB4187"/>
    <w:rsid w:val="BBEFF03F"/>
    <w:rsid w:val="BE5DA69F"/>
    <w:rsid w:val="BFBAC234"/>
    <w:rsid w:val="BFF70AF5"/>
    <w:rsid w:val="C97D9618"/>
    <w:rsid w:val="CB7DE942"/>
    <w:rsid w:val="CBF25681"/>
    <w:rsid w:val="CD424198"/>
    <w:rsid w:val="CEBF162A"/>
    <w:rsid w:val="D1B7C1AC"/>
    <w:rsid w:val="D2FFCC4D"/>
    <w:rsid w:val="D4372835"/>
    <w:rsid w:val="D5CD9455"/>
    <w:rsid w:val="D5DF3E85"/>
    <w:rsid w:val="D693A451"/>
    <w:rsid w:val="DE3EB0F2"/>
    <w:rsid w:val="DE73D873"/>
    <w:rsid w:val="DF1F4801"/>
    <w:rsid w:val="DFBBCEEB"/>
    <w:rsid w:val="DFEF06BB"/>
    <w:rsid w:val="DFF96BF7"/>
    <w:rsid w:val="DFFFB04A"/>
    <w:rsid w:val="E3F7B973"/>
    <w:rsid w:val="E6DD6352"/>
    <w:rsid w:val="EA2B7382"/>
    <w:rsid w:val="EBEFE156"/>
    <w:rsid w:val="ED57700E"/>
    <w:rsid w:val="ED7F2BCB"/>
    <w:rsid w:val="EF9FCB9C"/>
    <w:rsid w:val="EFAF8BA0"/>
    <w:rsid w:val="F27918D4"/>
    <w:rsid w:val="F2F55861"/>
    <w:rsid w:val="F3E5B329"/>
    <w:rsid w:val="F67D2C1D"/>
    <w:rsid w:val="F7EF0489"/>
    <w:rsid w:val="F7FF90A6"/>
    <w:rsid w:val="F9D2CA28"/>
    <w:rsid w:val="FA3FAC8E"/>
    <w:rsid w:val="FA978A37"/>
    <w:rsid w:val="FAF33451"/>
    <w:rsid w:val="FC3A2C26"/>
    <w:rsid w:val="FD6F9C10"/>
    <w:rsid w:val="FDAB61E5"/>
    <w:rsid w:val="FDB75DD3"/>
    <w:rsid w:val="FDB953E5"/>
    <w:rsid w:val="FDBFF725"/>
    <w:rsid w:val="FDF7184B"/>
    <w:rsid w:val="FDF7F130"/>
    <w:rsid w:val="FE1F6EFC"/>
    <w:rsid w:val="FE760366"/>
    <w:rsid w:val="FEDEA443"/>
    <w:rsid w:val="FF3B9421"/>
    <w:rsid w:val="FF5F0AE6"/>
    <w:rsid w:val="FFB539AF"/>
    <w:rsid w:val="FFC752E3"/>
    <w:rsid w:val="FFCE418B"/>
    <w:rsid w:val="FFDE9E87"/>
    <w:rsid w:val="FFF7154D"/>
    <w:rsid w:val="FFFB08D4"/>
    <w:rsid w:val="FFFF6662"/>
    <w:rsid w:val="FFFFC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0"/>
      <w:lang w:val="en-US" w:eastAsia="zh-CN" w:bidi="ar-SA"/>
    </w:rPr>
  </w:style>
  <w:style w:type="paragraph" w:styleId="2">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paragraph" w:styleId="4">
    <w:name w:val="heading 4"/>
    <w:next w:val="1"/>
    <w:qFormat/>
    <w:uiPriority w:val="0"/>
    <w:pPr>
      <w:widowControl w:val="0"/>
      <w:spacing w:beforeAutospacing="1" w:afterAutospacing="1"/>
      <w:jc w:val="left"/>
      <w:outlineLvl w:val="3"/>
    </w:pPr>
    <w:rPr>
      <w:rFonts w:hint="eastAsia" w:ascii="宋体" w:hAnsi="宋体" w:eastAsia="宋体" w:cs="Times New Roman"/>
      <w:b/>
      <w:kern w:val="0"/>
      <w:sz w:val="24"/>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99"/>
    <w:rPr>
      <w:rFonts w:eastAsia="文星仿宋"/>
      <w:sz w:val="32"/>
    </w:rPr>
  </w:style>
  <w:style w:type="paragraph" w:styleId="7">
    <w:name w:val="Body Text Indent"/>
    <w:qFormat/>
    <w:uiPriority w:val="0"/>
    <w:pPr>
      <w:widowControl w:val="0"/>
      <w:ind w:firstLine="720" w:firstLineChars="225"/>
      <w:jc w:val="both"/>
    </w:pPr>
    <w:rPr>
      <w:rFonts w:ascii="Times New Roman" w:hAnsi="Times New Roman" w:eastAsia="仿宋_GB2312" w:cs="Times New Roman"/>
      <w:kern w:val="2"/>
      <w:sz w:val="32"/>
      <w:szCs w:val="20"/>
      <w:lang w:val="en-US" w:eastAsia="zh-CN" w:bidi="ar-SA"/>
    </w:rPr>
  </w:style>
  <w:style w:type="paragraph" w:styleId="8">
    <w:name w:val="Body Text Indent 2"/>
    <w:next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qFormat/>
    <w:uiPriority w:val="0"/>
    <w:pPr>
      <w:widowControl/>
      <w:jc w:val="left"/>
    </w:pPr>
    <w:rPr>
      <w:rFonts w:ascii="宋体" w:hAnsi="宋体" w:eastAsia="宋体" w:cs="宋体"/>
      <w:kern w:val="0"/>
      <w:sz w:val="24"/>
      <w:szCs w:val="24"/>
      <w:lang w:val="en-US" w:eastAsia="zh-CN" w:bidi="ar-SA"/>
    </w:rPr>
  </w:style>
  <w:style w:type="paragraph" w:styleId="12">
    <w:name w:val="Title"/>
    <w:basedOn w:val="1"/>
    <w:next w:val="1"/>
    <w:qFormat/>
    <w:uiPriority w:val="10"/>
    <w:pPr>
      <w:adjustRightInd w:val="0"/>
      <w:snapToGrid w:val="0"/>
      <w:ind w:firstLine="0" w:firstLineChars="0"/>
      <w:jc w:val="center"/>
      <w:outlineLvl w:val="0"/>
    </w:pPr>
    <w:rPr>
      <w:rFonts w:ascii="Calibri Light" w:hAnsi="Calibri Light" w:eastAsia="方正小标宋简体" w:cs="Times New Roman"/>
      <w:bCs/>
      <w:sz w:val="44"/>
      <w:szCs w:val="32"/>
    </w:rPr>
  </w:style>
  <w:style w:type="paragraph" w:styleId="13">
    <w:name w:val="Body Text First Indent 2"/>
    <w:unhideWhenUsed/>
    <w:qFormat/>
    <w:uiPriority w:val="99"/>
    <w:pPr>
      <w:widowControl w:val="0"/>
      <w:ind w:firstLine="420" w:firstLineChars="200"/>
      <w:jc w:val="both"/>
    </w:pPr>
    <w:rPr>
      <w:rFonts w:ascii="Times New Roman" w:hAnsi="Times New Roman" w:eastAsia="仿宋_GB2312" w:cs="Times New Roman"/>
      <w:kern w:val="2"/>
      <w:sz w:val="32"/>
      <w:szCs w:val="20"/>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customStyle="1" w:styleId="19">
    <w:name w:val="正文2文字缩进"/>
    <w:basedOn w:val="1"/>
    <w:qFormat/>
    <w:uiPriority w:val="0"/>
    <w:pPr>
      <w:spacing w:line="240" w:lineRule="auto"/>
      <w:ind w:firstLine="0" w:firstLineChars="0"/>
    </w:pPr>
    <w:rPr>
      <w:rFonts w:ascii="Times New Roman" w:hAnsi="Times New Roman" w:cs="Times New Roman"/>
      <w:sz w:val="21"/>
      <w:lang w:eastAsia="ja-JP"/>
    </w:rPr>
  </w:style>
  <w:style w:type="paragraph" w:customStyle="1" w:styleId="20">
    <w:name w:val="正文1"/>
    <w:basedOn w:val="1"/>
    <w:next w:val="1"/>
    <w:qFormat/>
    <w:uiPriority w:val="0"/>
    <w:pPr>
      <w:autoSpaceDE w:val="0"/>
      <w:autoSpaceDN w:val="0"/>
      <w:adjustRightInd w:val="0"/>
      <w:spacing w:line="440" w:lineRule="atLeast"/>
    </w:pPr>
    <w:rPr>
      <w:rFonts w:ascii="仿宋_GB2312" w:hAnsi="Times New Roman" w:eastAsia="仿宋_GB2312" w:cs="Times New Roman"/>
      <w:sz w:val="28"/>
      <w:szCs w:val="20"/>
    </w:rPr>
  </w:style>
  <w:style w:type="paragraph" w:styleId="21">
    <w:name w:val="List Paragraph"/>
    <w:basedOn w:val="1"/>
    <w:qFormat/>
    <w:uiPriority w:val="99"/>
    <w:pPr>
      <w:ind w:firstLine="420"/>
    </w:pPr>
  </w:style>
  <w:style w:type="character" w:customStyle="1" w:styleId="22">
    <w:name w:val="font71"/>
    <w:qFormat/>
    <w:uiPriority w:val="0"/>
    <w:rPr>
      <w:rFonts w:hint="eastAsia" w:ascii="仿宋_GB2312" w:eastAsia="仿宋_GB2312" w:cs="仿宋_GB2312"/>
      <w:color w:val="000000"/>
      <w:sz w:val="24"/>
      <w:szCs w:val="24"/>
      <w:u w:val="none"/>
    </w:rPr>
  </w:style>
  <w:style w:type="character" w:customStyle="1" w:styleId="23">
    <w:name w:val="font101"/>
    <w:qFormat/>
    <w:uiPriority w:val="0"/>
    <w:rPr>
      <w:rFonts w:hint="default" w:ascii="Times New Roman" w:hAnsi="Times New Roman" w:cs="Times New Roman"/>
      <w:color w:val="000000"/>
      <w:sz w:val="24"/>
      <w:szCs w:val="24"/>
      <w:u w:val="none"/>
    </w:rPr>
  </w:style>
  <w:style w:type="character" w:customStyle="1" w:styleId="24">
    <w:name w:val="font21"/>
    <w:qFormat/>
    <w:uiPriority w:val="0"/>
    <w:rPr>
      <w:rFonts w:ascii="仿宋_GB2312" w:eastAsia="仿宋_GB2312" w:cs="仿宋_GB2312"/>
      <w:color w:val="000000"/>
      <w:sz w:val="24"/>
      <w:szCs w:val="24"/>
      <w:u w:val="none"/>
    </w:rPr>
  </w:style>
  <w:style w:type="character" w:customStyle="1" w:styleId="25">
    <w:name w:val="font41"/>
    <w:qFormat/>
    <w:uiPriority w:val="0"/>
    <w:rPr>
      <w:rFonts w:hint="eastAsia" w:ascii="仿宋_GB2312" w:eastAsia="仿宋_GB2312" w:cs="仿宋_GB2312"/>
      <w:color w:val="000000"/>
      <w:sz w:val="24"/>
      <w:szCs w:val="24"/>
      <w:u w:val="none"/>
    </w:rPr>
  </w:style>
  <w:style w:type="character" w:customStyle="1" w:styleId="26">
    <w:name w:val="font112"/>
    <w:qFormat/>
    <w:uiPriority w:val="0"/>
    <w:rPr>
      <w:rFonts w:hint="default" w:ascii="Times New Roman" w:hAnsi="Times New Roman" w:cs="Times New Roman"/>
      <w:color w:val="000000"/>
      <w:sz w:val="24"/>
      <w:szCs w:val="24"/>
      <w:u w:val="none"/>
    </w:rPr>
  </w:style>
  <w:style w:type="character" w:customStyle="1" w:styleId="27">
    <w:name w:val="font151"/>
    <w:qFormat/>
    <w:uiPriority w:val="0"/>
    <w:rPr>
      <w:rFonts w:hint="eastAsia" w:ascii="仿宋_GB2312" w:eastAsia="仿宋_GB2312" w:cs="仿宋_GB2312"/>
      <w:color w:val="000000"/>
      <w:sz w:val="24"/>
      <w:szCs w:val="24"/>
      <w:u w:val="none"/>
    </w:rPr>
  </w:style>
  <w:style w:type="character" w:customStyle="1" w:styleId="28">
    <w:name w:val="font121"/>
    <w:qFormat/>
    <w:uiPriority w:val="0"/>
    <w:rPr>
      <w:rFonts w:hint="default" w:ascii="Times New Roman" w:hAnsi="Times New Roman" w:cs="Times New Roman"/>
      <w:color w:val="000000"/>
      <w:sz w:val="24"/>
      <w:szCs w:val="24"/>
      <w:u w:val="none"/>
    </w:rPr>
  </w:style>
  <w:style w:type="character" w:customStyle="1" w:styleId="29">
    <w:name w:val="font31"/>
    <w:qFormat/>
    <w:uiPriority w:val="0"/>
    <w:rPr>
      <w:rFonts w:hint="default" w:ascii="Times New Roman" w:hAnsi="Times New Roman" w:cs="Times New Roman"/>
      <w:strike/>
      <w:color w:val="000000"/>
      <w:sz w:val="24"/>
      <w:szCs w:val="24"/>
    </w:rPr>
  </w:style>
  <w:style w:type="paragraph" w:customStyle="1" w:styleId="30">
    <w:name w:val="UserStyle_7"/>
    <w:qFormat/>
    <w:uiPriority w:val="0"/>
    <w:pPr>
      <w:widowControl w:val="0"/>
      <w:jc w:val="both"/>
    </w:pPr>
    <w:rPr>
      <w:rFonts w:ascii="Calibri" w:hAnsi="Calibri" w:eastAsia="文星仿宋" w:cs="Times New Roman"/>
      <w:kern w:val="0"/>
      <w:sz w:val="32"/>
      <w:szCs w:val="32"/>
      <w:lang w:val="en-US" w:eastAsia="zh-CN" w:bidi="ar-SA"/>
    </w:rPr>
  </w:style>
  <w:style w:type="character" w:customStyle="1" w:styleId="31">
    <w:name w:val="UserStyle_2"/>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6421</Words>
  <Characters>6596</Characters>
  <Lines>0</Lines>
  <Paragraphs>0</Paragraphs>
  <TotalTime>15</TotalTime>
  <ScaleCrop>false</ScaleCrop>
  <LinksUpToDate>false</LinksUpToDate>
  <CharactersWithSpaces>6604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2021-07-13T15:44:00Z</dcterms:created>
  <dc:creator>admin</dc:creator>
  <cp:lastModifiedBy>Administrator</cp:lastModifiedBy>
  <cp:lastPrinted>2024-07-08T19:53:00Z</cp:lastPrinted>
  <dcterms:modified xsi:type="dcterms:W3CDTF">2024-12-12T08:27:50Z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C65A4F40B8A44529A3B44A872326DD31_13</vt:lpwstr>
  </property>
</Properties>
</file>