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19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" w:eastAsia="zh-CN"/>
        </w:rPr>
      </w:pPr>
      <w:bookmarkStart w:id="0" w:name="OLE_LINK1"/>
      <w:r>
        <w:rPr>
          <w:rFonts w:hint="default" w:ascii="Times New Roman" w:hAnsi="Times New Roman" w:eastAsia="方正小标宋简体" w:cs="Times New Roman"/>
          <w:w w:val="97"/>
          <w:sz w:val="44"/>
          <w:szCs w:val="44"/>
          <w:lang w:eastAsia="zh-CN"/>
        </w:rPr>
        <w:t>天津市宁河区人民政府办公室</w:t>
      </w:r>
      <w:r>
        <w:rPr>
          <w:rFonts w:hint="default" w:ascii="Times New Roman" w:hAnsi="Times New Roman" w:eastAsia="方正小标宋简体" w:cs="Times New Roman"/>
          <w:w w:val="97"/>
          <w:sz w:val="44"/>
          <w:szCs w:val="44"/>
        </w:rPr>
        <w:t>关于</w:t>
      </w:r>
      <w:r>
        <w:rPr>
          <w:rFonts w:hint="default" w:ascii="Times New Roman" w:hAnsi="Times New Roman" w:eastAsia="方正小标宋简体" w:cs="Times New Roman"/>
          <w:w w:val="97"/>
          <w:sz w:val="44"/>
          <w:szCs w:val="44"/>
          <w:lang w:eastAsia="zh-CN"/>
        </w:rPr>
        <w:t>印发宁河区202</w:t>
      </w:r>
      <w:r>
        <w:rPr>
          <w:rFonts w:hint="default" w:ascii="Times New Roman" w:hAnsi="Times New Roman" w:eastAsia="方正小标宋简体" w:cs="Times New Roman"/>
          <w:w w:val="97"/>
          <w:sz w:val="44"/>
          <w:szCs w:val="44"/>
          <w:lang w:val="en" w:eastAsia="zh-CN"/>
        </w:rPr>
        <w:t>5</w:t>
      </w:r>
      <w:r>
        <w:rPr>
          <w:rFonts w:hint="default" w:ascii="Times New Roman" w:hAnsi="Times New Roman" w:eastAsia="方正小标宋简体" w:cs="Times New Roman"/>
          <w:w w:val="97"/>
          <w:sz w:val="44"/>
          <w:szCs w:val="44"/>
          <w:lang w:eastAsia="zh-CN"/>
        </w:rPr>
        <w:t>年食品安全监督管理计划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的通知</w:t>
      </w:r>
    </w:p>
    <w:p w14:paraId="21782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</w:p>
    <w:p w14:paraId="5F009A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各镇人民政府、街道办事处，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有关委、办、局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0F980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人民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政府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同意，现将《宁河区202</w:t>
      </w:r>
      <w:r>
        <w:rPr>
          <w:rFonts w:hint="default" w:ascii="Times New Roman" w:hAnsi="Times New Roman" w:cs="Times New Roman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年食品安全监督管理计划》印发给你们，请遵照执行。</w:t>
      </w:r>
      <w:bookmarkStart w:id="1" w:name="_GoBack"/>
      <w:bookmarkEnd w:id="1"/>
    </w:p>
    <w:p w14:paraId="77237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7D9B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9B7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1"/>
          <w:szCs w:val="24"/>
        </w:rPr>
      </w:pPr>
    </w:p>
    <w:p w14:paraId="1BF9C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5441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52" w:firstLineChars="200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</w:p>
    <w:p w14:paraId="2667A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此件主动公开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）</w:t>
      </w:r>
    </w:p>
    <w:p w14:paraId="29AC778A">
      <w:pP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/>
        </w:rPr>
        <w:br w:type="page"/>
      </w:r>
    </w:p>
    <w:p w14:paraId="4BEE87C5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val="en-US" w:eastAsia="zh-CN"/>
        </w:rPr>
        <w:t>宁河区2025年</w:t>
      </w:r>
      <w:r>
        <w:rPr>
          <w:rFonts w:hint="default" w:ascii="Times New Roman" w:hAnsi="Times New Roman" w:eastAsia="方正小标宋简体" w:cs="Times New Roman"/>
          <w:color w:val="auto"/>
          <w:sz w:val="44"/>
          <w:highlight w:val="none"/>
          <w:lang w:eastAsia="zh-CN"/>
        </w:rPr>
        <w:t>食品安全监督管理计划</w:t>
      </w:r>
    </w:p>
    <w:p w14:paraId="38A6405D">
      <w:pPr>
        <w:rPr>
          <w:rFonts w:hint="default" w:ascii="Times New Roman" w:hAnsi="Times New Roman" w:cs="Times New Roman"/>
          <w:color w:val="auto"/>
          <w:highlight w:val="none"/>
          <w:lang w:eastAsia="zh-CN"/>
        </w:rPr>
      </w:pPr>
    </w:p>
    <w:p w14:paraId="04A1842F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  <w:t>2025年宁河区按照“四个最严”要求，严把食品安全防线，提升食品安全治理现代化水平，不断增强全区人民获得感、安全感。根据《天津市2025年食品安全监督管理计划》，结合我区实际，制定本计划。</w:t>
      </w:r>
    </w:p>
    <w:p w14:paraId="4BDD0D0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highlight w:val="none"/>
          <w:lang w:eastAsia="zh-CN"/>
        </w:rPr>
        <w:t>一、强化落实各方责任</w:t>
      </w:r>
    </w:p>
    <w:p w14:paraId="26A80A3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474" w:firstLineChars="150"/>
        <w:textAlignment w:val="auto"/>
        <w:outlineLvl w:val="9"/>
        <w:rPr>
          <w:rStyle w:val="16"/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（一）强化综合协调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发挥区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食药安委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及其办公室综合管理作用，完善工作规则，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定期召开风险会商会议，及时研判解决各部门在监管执法、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重大事项处置等方面存在的问题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（区食药安办牵头，区食药安委各成员单位按职责分工负责）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结合巡察工作，围绕重大事项、重点任务，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发挥“三书一函”等制度机制作用，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加强跟踪督办，开展督查调研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（区食药安办负责）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46F978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474" w:firstLineChars="15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（二）强化企业主体责任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督促指导食品生产经营企业健全内部管理制度，严格落实市场总局第97号令相关要求，提高风险防控精准度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（区市场监管局负责）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2CFAE01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474" w:firstLineChars="15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（三）强化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属地管理责任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进一步优化食品安全属地管理责任，指导包保干部严格照单履职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（区食药安办、各镇街、园区管委会、兴宁集团按职责分工负责）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。将食品安全监管触角延伸至“最后一公里”，进一步发挥基层组织基础性作用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0"/>
          <w:highlight w:val="none"/>
          <w:lang w:val="en-US" w:eastAsia="zh-CN"/>
        </w:rPr>
        <w:t>（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各镇街、园区管委会按职责分工负责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0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182D6A4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474" w:firstLineChars="150"/>
        <w:textAlignment w:val="auto"/>
        <w:outlineLvl w:val="9"/>
        <w:rPr>
          <w:rStyle w:val="16"/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snapToGrid w:val="0"/>
          <w:color w:val="auto"/>
          <w:kern w:val="0"/>
          <w:highlight w:val="none"/>
          <w:lang w:val="en-US" w:eastAsia="zh-CN"/>
        </w:rPr>
        <w:t>（四）强化部门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管理责任。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落实“管行业必须管安全”要求，对主管领域的食品安全工作承担行业管理责任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（区食药安委相关成员单位按职责分工负责）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3E37510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  <w:t>二、加强全链条食品安全监管</w:t>
      </w:r>
    </w:p>
    <w:p w14:paraId="3CD23E5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（五）加强全链条机制建设。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健全落实突出问题导向的抽检监测、“产运储销”全链条监管、行刑衔接、督促落实等机制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（区食药安办牵头，区食药安委相关成员单位配合）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。落实“从农田到餐桌”全链条监管制度机制和风险防控体系，实施“最严格的监管”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（区农业农村委、区市场监管局、区发改委、区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林业局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、宁河海关按职责分工负责）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000000"/>
          <w:highlight w:val="none"/>
          <w:lang w:val="en-US" w:eastAsia="zh-CN"/>
        </w:rPr>
        <w:t>完善食用农产品承诺达标合格证“产运销”联合查验等产地准出市场准入衔接机制。落实肉类产品检疫证明查验制度和</w:t>
      </w:r>
      <w:r>
        <w:rPr>
          <w:rFonts w:hint="default" w:ascii="Times New Roman" w:hAnsi="Times New Roman" w:cs="Times New Roman"/>
          <w:b w:val="0"/>
          <w:bCs w:val="0"/>
          <w:color w:val="000000"/>
          <w:highlight w:val="none"/>
          <w:lang w:eastAsia="zh-CN"/>
        </w:rPr>
        <w:t>肉类产品分销加工环节信息追溯查验机制，严厉打击“无检疫证明”“虚假检疫证明”等行为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highlight w:val="none"/>
          <w:lang w:eastAsia="zh-CN"/>
        </w:rPr>
        <w:t>（区农业农村委、区市场监管局、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highlight w:val="none"/>
          <w:lang w:val="en-US" w:eastAsia="zh-CN"/>
        </w:rPr>
        <w:t>区交通局按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highlight w:val="none"/>
          <w:lang w:eastAsia="zh-CN"/>
        </w:rPr>
        <w:t>职责分工负责）</w:t>
      </w:r>
      <w:r>
        <w:rPr>
          <w:rFonts w:hint="default" w:ascii="Times New Roman" w:hAnsi="Times New Roman" w:cs="Times New Roman"/>
          <w:b w:val="0"/>
          <w:bCs w:val="0"/>
          <w:color w:val="000000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落实食品贮存监管制度，严格食品运输仓储配送管理。落实液态类食品散装运输要求，加强食品运输全过程监管。强化食品寄递安全管理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农业农村委、区市场监管局、区交通局、宁河海关、区发改委、市邮政管理局第二分局按职责分工负责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进一步加强汽车站、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旅游景区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、高速公路服务区等重点场所和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校园、机关食堂等集中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用餐单位食品安全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协同管理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（区交通局、区文旅局、区市场监管局、区教育局、区民政局、区卫健委、区住建委、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" w:eastAsia="zh-CN"/>
        </w:rPr>
        <w:t>区机关事务服务中心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</w:p>
    <w:p w14:paraId="247B7A4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）加强源头监管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加强农用地周边流域水污染防治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（区生态环境局负责）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。落实农产品质量安全产地准出分类监管制度。组织开展地产食用农产品“守底线 促提升”专项行动。持续开展豇豆、芹菜和水产养殖药物残留突出问题攻坚治理。落实水产养殖投入品使用白名单制度。规范畜禽养殖环节用药安全，推进畜禽屠宰环节整治三年行动。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持续开展农药科学施用增效、兽药使用减量行动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（区农业农村委负责）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落实完善区级政府粮食储备质量安全管理制度。严格执行粮食质量管理政策，加大违反政策性粮食质量安全管理制度行为的查处力度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（区发改委负责）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。</w:t>
      </w:r>
    </w:p>
    <w:p w14:paraId="28EE346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七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）加强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生产经营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许可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和监管</w:t>
      </w:r>
      <w:r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规范食品生产经营许可和备案，落实审查机制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val="en-US" w:eastAsia="zh-CN"/>
        </w:rPr>
        <w:t>要求，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严格审查把关，督促经营者落实法定主体责任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区市场监管局负责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  <w:t>落实食品生产经营风险分级监督检查要求，抓好日常检查。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运用飞行检查、体系检查等非日常监督检查方式，提升检查覆盖率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  <w:t>。组织开展农村假冒伪劣食品专项整治行动。持续整治制售假劣肉制品违法行为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区市场监管局负责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  <w:t>。强化清真食品备案和监管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区民宗委、区市场监管局按职责分工负责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  <w:t>。</w:t>
      </w:r>
    </w:p>
    <w:p w14:paraId="7B4269D1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八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）加强校园食品安全监管。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建立校园食品安全和膳食经费管理专项工作机制，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深化“校园餐”问题专项整治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区教育局牵头，区食药安委相关成员单位按职责分工负责）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highlight w:val="none"/>
          <w:lang w:eastAsia="zh-CN"/>
        </w:rPr>
        <w:t>全面压实学校食品安全主体责任，加强病媒生物防制，严格落实大宗食材采购、进货查验制度，规范食堂承包经营行为和校外供餐单位管理。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eastAsia="zh-CN"/>
        </w:rPr>
        <w:t>持续推动恢复校内食堂供餐，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推广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“桶餐到校+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班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内分餐”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等新型供餐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模式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（区教育局、区市场监管局、区卫健委按职责分工负责）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</w:p>
    <w:p w14:paraId="6789003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（九）加强食品添加剂治理。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强化食品添加剂生产、销售以及在食品生产加工、餐饮服务环节使用监管，严厉打击化工产品冒充食品添加剂违法行为，开展全过程食品添加剂滥用问题综合治理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（区食药安办</w:t>
      </w:r>
      <w:r>
        <w:rPr>
          <w:rStyle w:val="16"/>
          <w:rFonts w:hint="eastAsia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区市场监管局、区农业农村委、区工信局、宁河海关、区卫健委按职责分工负责）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7057E163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楷体" w:cs="Times New Roman"/>
          <w:b w:val="0"/>
          <w:bCs w:val="0"/>
          <w:color w:val="auto"/>
          <w:sz w:val="32"/>
          <w:highlight w:val="none"/>
          <w:lang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（十）加强餐饮质量提升。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着力培育七里海周边垂钓农家院“放心餐饮”，推动餐饮服务单位入驻明厨亮灶智慧监管平台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（区市场监管局负责）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加强厨余垃圾无害化处理和资源化利用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区城管委负责）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</w:p>
    <w:p w14:paraId="3090077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Style w:val="16"/>
          <w:rFonts w:hint="default" w:ascii="Times New Roman" w:hAnsi="Times New Roman" w:eastAsia="楷体" w:cs="Times New Roman"/>
          <w:b w:val="0"/>
          <w:bCs w:val="0"/>
          <w:color w:val="auto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</w:rPr>
        <w:t>（十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lang w:val="en-US" w:eastAsia="zh-CN"/>
        </w:rPr>
        <w:t>一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</w:rPr>
        <w:t>）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lang w:eastAsia="zh-CN"/>
        </w:rPr>
        <w:t>加强城乡自办宴席食品安全监管</w:t>
      </w:r>
      <w:r>
        <w:rPr>
          <w:rStyle w:val="16"/>
          <w:rFonts w:hint="default" w:ascii="Times New Roman" w:hAnsi="Times New Roman" w:eastAsia="楷体" w:cs="Times New Roman"/>
          <w:b w:val="0"/>
          <w:bCs w:val="0"/>
          <w:color w:val="auto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摸清从事承办城乡自办宴席经营者情况，指导和督促经营者依法办理小餐饮许可证，实施食品安全风险等级评定，按要求开展日常监督检查。城乡自办宴席举办地村（居）民委员会接到城乡自办宴席举办者和承办者的报告后，及时通报属地市场监管部门，由市场监管部门对宴席现场和加工过程食品安全进行核查和检查，保障食品安全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</w:rPr>
        <w:t>（区市场监管局、各镇街、园区管委会按职责分工负责）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。</w:t>
      </w:r>
    </w:p>
    <w:p w14:paraId="74291B7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（十二）加强新兴领域食品安全监管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。加强跨境电商零售进口食品、直播带货、私域电商、社区团购等新业态新模式的监管，开展直播电商领域食品抽查抽检，严厉打击虚假宣传、售卖不合格食品等违法违规行为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（区市场监管局、区商务局、宁河海关按职责分工负责）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。督促落实网络订餐平台责任，确保提供网上订餐服务的餐饮单位有实体店经营资格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（区市场监管局负责）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26E1D21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（十三）加强进口食品监管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。加强进出口食品生产经营企业备案注册管理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（宁河海关负责）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。开展“国门守护”和“净海”行动，全力打击涉食品走私违法犯罪行为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（宁河海关、区市场监管局、公安宁河分局按职责分工负责）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0404337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  <w:t>三、强化抽检监测</w:t>
      </w:r>
    </w:p>
    <w:p w14:paraId="5425FBD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Style w:val="16"/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四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）强化监督抽检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6"/>
        </w:rPr>
        <w:t>全年安排区级监督抽检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6"/>
          <w:lang w:val="en-US" w:eastAsia="zh-CN"/>
        </w:rPr>
        <w:t>3300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6"/>
        </w:rPr>
        <w:t>批次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6"/>
          <w:lang w:eastAsia="zh-C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6"/>
          <w:lang w:val="en-US" w:eastAsia="zh-CN"/>
        </w:rPr>
        <w:t>进一步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提高监测覆盖面和问题发现率。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6"/>
        </w:rPr>
        <w:t>其中，市场监管部门抽检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6"/>
          <w:lang w:val="en-US" w:eastAsia="zh-CN"/>
        </w:rPr>
        <w:t>1600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6"/>
        </w:rPr>
        <w:t>批次，农业农村部门农产品质量安全定量检测1600批次、农业投入品监督抽检不少于100批次</w:t>
      </w:r>
      <w:r>
        <w:rPr>
          <w:rFonts w:hint="default" w:ascii="Times New Roman" w:hAnsi="Times New Roman" w:cs="Times New Roman"/>
          <w:b w:val="0"/>
          <w:bCs w:val="0"/>
          <w:color w:val="auto"/>
          <w:lang w:val="en"/>
        </w:rPr>
        <w:t>，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监督抽检不合格食品核查处置率达到100%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（区市场监管局、区农业农村委按职责分工负责）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组织开展“你点我检服务惠民生”抽检不低于160批次。严格落实国家食品相关产品监督抽查不合格后处理任务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（区市场监管局负责）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spacing w:val="6"/>
        </w:rPr>
        <w:t>配合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完成食用林产品质量安全监测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（区林业局负责）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</w:p>
    <w:p w14:paraId="150F5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五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）强化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风险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监测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。制定实施《宁河区食品安全风险监测方案》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（区卫健委牵头，区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食药安委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相关成员单位配合）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进一步加强部门间、区域间风险隐患信息交流通报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，加强食品安全风险预警防控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（区农业农村委、区卫健委、区市场监管局按职责分工负责）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加强重点行业、重点场所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以及特色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食品中化学污染物及其有害因素和食源性致病菌监测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卫健委负责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组织开展水产品中副溶血性弧菌全链条风险监测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卫健委牵头，区农业农村委、区市场监管局配合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推进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津沽七里海生态农产品检测实验室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扩项工作，持续提升食品检测能力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（农发集团、区市场监管局按职责分工负责）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。</w:t>
      </w:r>
    </w:p>
    <w:p w14:paraId="612A8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  <w:t>四、严惩违法犯罪</w:t>
      </w:r>
    </w:p>
    <w:p w14:paraId="309E6789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六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）强化突出问题治理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深入实施“保安全惠民生工程”。持续加大风险隐患排查治理力度，坚决打击行业“潜规则”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。深入开展“守护消费”铁拳行动，严厉打击“幽灵外卖”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、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非法添加、生产经营有毒有害食品等违法行为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eastAsia="zh-CN"/>
        </w:rPr>
        <w:t>（区市场监管局负责）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。严打非法使用“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瘦肉精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禁限用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药品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、私屠滥宰、注水注药、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生产经营病死畜禽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等违法违规行为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（区农业农村委负责）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</w:p>
    <w:p w14:paraId="549D257A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七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）严惩违法犯罪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行为。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协调推动区级政法单位围绕人民群众反映强烈的食品安全突出问题，查办一批有影响的重大案件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委政法委负责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深入开展“昆仑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2025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”“净风”和肉制品犯罪集中整治行动，聚焦重点部位、重点地区，依法严厉打击“两超一非”、制售假冒伪劣等突出犯罪活动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（公安宁河分局负责）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强化行刑衔接，严格落实处罚到人、行业禁入，及时曝光典型案例，震慑违法犯罪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（公安宁河分局、区法院、区检察院、区农业农村委、区市场监管局按职责分工负责）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488A981D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lang w:val="en-US" w:eastAsia="zh-CN"/>
        </w:rPr>
        <w:t>提升治理能力</w:t>
      </w:r>
    </w:p>
    <w:p w14:paraId="114A6F40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八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健全食品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标准体系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加强食品添加剂、食品标签等重点标准的宣贯培训，指导企业推广应用数字标签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（区卫健委牵头，区农业农村委、区市场监管局按职责分工负责）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。配合做好农业地方标准制修订工作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（区农业农村委负责）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组织筹备《七里海河蟹面制作技艺》团体标准新闻发布会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（区食药安委相关成员单位按职责分工负责）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48907A6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十九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）提升信用监管水平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落实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行政处罚、抽检不合格等涉食品企业信用信息公示。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严格黑名单管理，加大联合惩戒力度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（区市场监管局负责）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开展农安信用分等分级动态评价，实施风险分类监管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（区农业农村委负责）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</w:p>
    <w:p w14:paraId="45465918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（二十）加强智慧监管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。全力推动大中型餐饮服务单位入驻明厨亮灶智慧监管平台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（区市场监管局负责）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推广应用天津市放心农产品质量安全监管平台，推进地产食用农产品追溯管理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（区农业农村委负责）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探索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研发“食监助手”小程序，集成智能校验等核心功能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，提供食品生产领域标签审核公益性服务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（区市场监管局负责）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 w14:paraId="2029AAD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（二十一）强化监管能力建设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保障食品安全经费投入。强化科技支撑，大力支持我区涉农市级重点实验室申报种业创新重大专项项目。组织实施食品安全监管基础设施建设。提升疾控机构技术能力水平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highlight w:val="none"/>
          <w:lang w:val="en-US" w:eastAsia="zh-CN"/>
        </w:rPr>
        <w:t>（区财政局、区发改委、区科技局、区农业农村委、区市场监管局、区卫健委按职责分工负责）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推进提升农产品、粮食、林产品质量安全检测能力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（区农业农村委、区发改委、区林业局按职责分工负责）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深化食品安全领域科技创新、人才培养，引导企业加大科研投入，强化推动成果转化应用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（区科技局</w:t>
      </w:r>
      <w:r>
        <w:rPr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kern w:val="2"/>
          <w:sz w:val="32"/>
          <w:szCs w:val="32"/>
          <w:highlight w:val="none"/>
          <w:lang w:val="en-US" w:eastAsia="zh-CN" w:bidi="ar-SA"/>
        </w:rPr>
        <w:t>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区教育局、区人社局、区农业农村委、区卫健委、区市场监管局、宁河海关按职责分工负责）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促进绿色储粮技术应用，建设现代化绿色粮仓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区发改委负责）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组织开展食用农产品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农兽药残留限量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和食品安全综合业务专题培训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（区食药安办、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24"/>
          <w:highlight w:val="none"/>
          <w:lang w:val="en-US" w:eastAsia="zh-CN"/>
        </w:rPr>
        <w:t>区市场监管局、区农业农村委、各街镇、园区管委会、兴宁集团按职责分工负责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。组建宁河区食品标签公益性审核服务团队。完善食品安全检查员制度，强化检查员队伍管理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区市场监管局负责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56620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Style w:val="16"/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（二十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二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）提升应急处置能力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制定印发《天津市宁河区食品安全事故应急预案》，组织开展培训和演练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（区食药安办牵头，区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食药安委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相关成员单位配合）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加强食品安全领域网上相关信息舆情监测推送、分析研判，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落实舆情处置相关规定，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严防处置不当导致舆情发酵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（区委网信办及其他区食药安委成员单位按职责分工负责）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规范“自媒体”发布传播食品安全信息管理，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发挥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宁河辟谣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矩阵平台作用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区委网信办牵头，区食药安委相关成员单位配合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。发挥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宁河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融媒”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等宣传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媒体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作用，准确发布权威信息，及时回应群众关切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（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区融媒体中心负责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16F0FE5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（二十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三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）强化大型活动食品安全保障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强化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应急保障队伍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建设，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保障七里海半程马拉松、国际轮滑公开赛等国家和国际级赛事以及“逛宁河赶大集”等重大活动的食品安全保障工作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（区市场监管局牵头，区食药安委相关成员单位配合）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eastAsia="zh-CN"/>
        </w:rPr>
        <w:t>。</w:t>
      </w:r>
    </w:p>
    <w:p w14:paraId="6FCC7F0E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vertAlign w:val="baseline"/>
          <w:lang w:val="en-US" w:eastAsia="zh-CN"/>
        </w:rPr>
        <w:t>六、持续深化社会共治</w:t>
      </w:r>
    </w:p>
    <w:p w14:paraId="0D7795EE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highlight w:val="none"/>
          <w:lang w:eastAsia="zh-CN"/>
        </w:rPr>
        <w:t>（二十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highlight w:val="none"/>
          <w:lang w:val="en-US" w:eastAsia="zh-CN"/>
        </w:rPr>
        <w:t>四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highlight w:val="none"/>
          <w:lang w:eastAsia="zh-CN"/>
        </w:rPr>
        <w:t>）加强科普宣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传。</w:t>
      </w:r>
      <w:r>
        <w:rPr>
          <w:rFonts w:hint="default" w:ascii="Times New Roman" w:hAnsi="Times New Roman" w:cs="Times New Roman"/>
          <w:b w:val="0"/>
          <w:bCs w:val="0"/>
          <w:strike w:val="0"/>
          <w:dstrike w:val="0"/>
          <w:color w:val="auto"/>
          <w:highlight w:val="none"/>
          <w:lang w:eastAsia="zh-CN"/>
        </w:rPr>
        <w:t>组织开展食品安全宣传周活动，创新食品安全宣传方式，通过喜闻乐见的方式把食品安全宣传活动深入“芦台大集”、走进“民航大学”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strike w:val="0"/>
          <w:dstrike w:val="0"/>
          <w:color w:val="auto"/>
          <w:highlight w:val="none"/>
          <w:lang w:eastAsia="zh-CN"/>
        </w:rPr>
        <w:t>（区食药安办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牵头，区食药安委相关成员单位配合）</w:t>
      </w:r>
      <w:r>
        <w:rPr>
          <w:rFonts w:hint="default" w:ascii="Times New Roman" w:hAnsi="Times New Roman" w:cs="Times New Roman"/>
          <w:b w:val="0"/>
          <w:bCs w:val="0"/>
          <w:strike w:val="0"/>
          <w:dstrike w:val="0"/>
          <w:color w:val="auto"/>
          <w:highlight w:val="none"/>
          <w:lang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发挥多部门联动的反食品浪费工作机制作用，定期汇总工作进展，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适时发布节约提示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（区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发改委牵头，区文旅局、区交通局、区农业农村委、区商务局、区市场监管局、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" w:eastAsia="zh-CN"/>
        </w:rPr>
        <w:t>区机关事务服务中心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配合）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。</w:t>
      </w:r>
      <w:r>
        <w:rPr>
          <w:rStyle w:val="16"/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充分运用新型媒介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宣传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普及食品安全健康科普知识，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对冲谣言风险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，提升公众食品安全素养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市场监管局牵头，区食药安委相关成员单位按职责分工负责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开展“食药安全益路行”检察公益诉讼监督活动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（区检察院负责）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4BC1D144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（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二十五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eastAsia="zh-CN"/>
        </w:rPr>
        <w:t>）加强社会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共治。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以餐饮服务环节食品安全日常监督检查工作为基础，定期公开发布红榜和黑榜，加大对守法主体宣传和违法行为的曝光力度，督促落实食品安全主体责任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（区市场监管局负责）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。开展技术机构“三进”（进校园、进养老机构、进医疗机构）服务行动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（区市场监管局负责）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充分发挥食品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行业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协会等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行业协会的桥梁纽带、行业自律、示范引领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作用，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助力我区食品产业高质量发展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（区工信局、区商务局、区农业农村委、区市场监管局、农发集团按职责分工负责）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组织成立宁河区食品安全志愿服务队伍，提升食品安全志愿服务水平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区食药安办、各镇街、园区管委会按职责分工负责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</w:p>
    <w:p w14:paraId="265ACEC8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vertAlign w:val="baseli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highlight w:val="none"/>
          <w:vertAlign w:val="baseline"/>
          <w:lang w:val="en-US" w:eastAsia="zh-CN"/>
        </w:rPr>
        <w:t>七、推进食品产业高质量发展</w:t>
      </w:r>
    </w:p>
    <w:p w14:paraId="40F6CEF2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leftChars="0" w:firstLine="632" w:firstLineChars="200"/>
        <w:textAlignment w:val="auto"/>
        <w:outlineLvl w:val="9"/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</w:pPr>
      <w:r>
        <w:rPr>
          <w:rStyle w:val="16"/>
          <w:rFonts w:hint="eastAsia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二十六</w:t>
      </w:r>
      <w:r>
        <w:rPr>
          <w:rStyle w:val="16"/>
          <w:rFonts w:hint="eastAsia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）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壮大优势特色产业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vertAlign w:val="baseline"/>
          <w:lang w:val="en-US" w:eastAsia="zh-CN"/>
        </w:rPr>
        <w:t>。组织实施冷链产业高质量发展行动。积极推动我区商贸冷链物流，鼓励企业通过引进先进的冷藏、冷冻设备，延长产品存储时间，提高产品附加值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（区发改委、区商务局按职责分工负责）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vertAlign w:val="baseline"/>
          <w:lang w:val="en-US" w:eastAsia="zh-CN"/>
        </w:rPr>
        <w:t>。加大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培育区内特色食品产业和企业，推动区内食品工业企业开展智能化、数字化、绿色化改造。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vertAlign w:val="baseline"/>
          <w:lang w:val="en-US" w:eastAsia="zh-CN"/>
        </w:rPr>
        <w:t>打造特色食品产业集群。深入推进食品工业数字化转型升级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（区工信局负责）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vertAlign w:val="baseline"/>
          <w:lang w:val="en-US" w:eastAsia="zh-CN"/>
        </w:rPr>
        <w:t>。开展粮食品种品质品牌提升行动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（区发改委负责）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vertAlign w:val="baseline"/>
          <w:lang w:val="en-US" w:eastAsia="zh-CN"/>
        </w:rPr>
        <w:t>。加大宣传力度、不断扩大绿色、有机、地理标志农产品认证体系的知晓率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（区农业农村委负责）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vertAlign w:val="baseli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持续推进食品安全责任保险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（区食药安委相关成员单位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按职责分工负责</w:t>
      </w:r>
      <w:r>
        <w:rPr>
          <w:rStyle w:val="16"/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。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推进社区食堂和校园食堂项目建设</w:t>
      </w:r>
      <w:r>
        <w:rPr>
          <w:rFonts w:hint="default" w:ascii="Times New Roman" w:hAnsi="Times New Roman" w:eastAsia="楷体_GB2312" w:cs="Times New Roman"/>
          <w:b w:val="0"/>
          <w:bCs w:val="0"/>
          <w:color w:val="auto"/>
          <w:highlight w:val="none"/>
          <w:lang w:val="en-US" w:eastAsia="zh-CN"/>
        </w:rPr>
        <w:t>（区供销社、区教育局按职责分工负责）</w:t>
      </w:r>
      <w:r>
        <w:rPr>
          <w:rFonts w:hint="default" w:ascii="Times New Roman" w:hAnsi="Times New Roman" w:cs="Times New Roman"/>
          <w:b w:val="0"/>
          <w:bCs w:val="0"/>
          <w:color w:val="auto"/>
          <w:highlight w:val="none"/>
          <w:lang w:val="en-US" w:eastAsia="zh-CN"/>
        </w:rPr>
        <w:t>。</w:t>
      </w:r>
    </w:p>
    <w:p w14:paraId="5C28E1D7"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adjustRightInd w:val="0"/>
        <w:snapToGrid w:val="0"/>
        <w:spacing w:line="560" w:lineRule="exact"/>
        <w:ind w:firstLine="632" w:firstLineChars="200"/>
        <w:textAlignment w:val="auto"/>
        <w:outlineLvl w:val="9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各单位要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细化工作措施，确保食品安全各项工作见行见效。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按季度报送工作进展</w:t>
      </w:r>
      <w:r>
        <w:rPr>
          <w:rFonts w:hint="default" w:ascii="Times New Roman" w:hAnsi="Times New Roman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，年底前报送工作总结，由区食药安办形成年度食品安全工作报告报区委、区政府。</w:t>
      </w:r>
    </w:p>
    <w:bookmarkEnd w:id="0"/>
    <w:p w14:paraId="710C117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00" w:lineRule="exact"/>
        <w:ind w:left="0" w:leftChars="0"/>
        <w:textAlignment w:val="auto"/>
        <w:rPr>
          <w:rFonts w:hint="default" w:ascii="Times New Roman" w:hAnsi="Times New Roman" w:cs="Times New Roman"/>
        </w:rPr>
      </w:pPr>
    </w:p>
    <w:p w14:paraId="6FC1AABE">
      <w:pPr>
        <w:rPr>
          <w:rFonts w:hint="default" w:ascii="Times New Roman" w:hAnsi="Times New Roman" w:cs="Times New Roman"/>
        </w:rPr>
      </w:pPr>
    </w:p>
    <w:p w14:paraId="1E39F8D4">
      <w:pPr>
        <w:pStyle w:val="2"/>
        <w:rPr>
          <w:rFonts w:hint="default" w:ascii="Times New Roman" w:hAnsi="Times New Roman" w:cs="Times New Roman"/>
        </w:rPr>
      </w:pPr>
    </w:p>
    <w:p w14:paraId="047AA16B">
      <w:pPr>
        <w:rPr>
          <w:rFonts w:hint="default" w:ascii="Times New Roman" w:hAnsi="Times New Roman" w:cs="Times New Roman"/>
        </w:rPr>
      </w:pPr>
    </w:p>
    <w:p w14:paraId="48C83A60">
      <w:pPr>
        <w:pStyle w:val="2"/>
        <w:rPr>
          <w:rFonts w:hint="default" w:ascii="Times New Roman" w:hAnsi="Times New Roman" w:cs="Times New Roman"/>
        </w:rPr>
      </w:pPr>
    </w:p>
    <w:p w14:paraId="03C579A6">
      <w:pPr>
        <w:rPr>
          <w:rFonts w:hint="default" w:ascii="Times New Roman" w:hAnsi="Times New Roman" w:cs="Times New Roman"/>
        </w:rPr>
      </w:pPr>
    </w:p>
    <w:p w14:paraId="54BE88BB">
      <w:pPr>
        <w:pStyle w:val="2"/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AndChars" w:linePitch="58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45F4A">
    <w:pPr>
      <w:pStyle w:val="8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12479C"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112479C"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332CC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Y2IyOTY4ZjgwYjFmZWY5ZTkyN2Q2MWExYWVjNjIifQ=="/>
  </w:docVars>
  <w:rsids>
    <w:rsidRoot w:val="00000000"/>
    <w:rsid w:val="05C16306"/>
    <w:rsid w:val="0F7A0D2D"/>
    <w:rsid w:val="153F1BC5"/>
    <w:rsid w:val="1A644D3F"/>
    <w:rsid w:val="1FAFB1B1"/>
    <w:rsid w:val="24594F5D"/>
    <w:rsid w:val="24EE7D9B"/>
    <w:rsid w:val="296248B4"/>
    <w:rsid w:val="298A5BB9"/>
    <w:rsid w:val="2B285689"/>
    <w:rsid w:val="2E0C3040"/>
    <w:rsid w:val="2EBC6814"/>
    <w:rsid w:val="2FEF29F3"/>
    <w:rsid w:val="33FD8336"/>
    <w:rsid w:val="344C23E9"/>
    <w:rsid w:val="3724008B"/>
    <w:rsid w:val="3ACF1343"/>
    <w:rsid w:val="3B4CE296"/>
    <w:rsid w:val="3D64196C"/>
    <w:rsid w:val="3DAFED82"/>
    <w:rsid w:val="3E8F23A1"/>
    <w:rsid w:val="3FD7B17A"/>
    <w:rsid w:val="40C234A0"/>
    <w:rsid w:val="41650F8E"/>
    <w:rsid w:val="46FFFBF2"/>
    <w:rsid w:val="4DD74FC1"/>
    <w:rsid w:val="4EBF7584"/>
    <w:rsid w:val="4EF648A9"/>
    <w:rsid w:val="4FEF2C96"/>
    <w:rsid w:val="52FBCA0D"/>
    <w:rsid w:val="5D57D082"/>
    <w:rsid w:val="5D9FDD98"/>
    <w:rsid w:val="5F7B2130"/>
    <w:rsid w:val="5FBF75A0"/>
    <w:rsid w:val="620F6680"/>
    <w:rsid w:val="63BE65AF"/>
    <w:rsid w:val="68F7DCE1"/>
    <w:rsid w:val="697D0DFC"/>
    <w:rsid w:val="6B8BA524"/>
    <w:rsid w:val="6EE50B44"/>
    <w:rsid w:val="6F6FF155"/>
    <w:rsid w:val="6F77CAA0"/>
    <w:rsid w:val="6FC75B10"/>
    <w:rsid w:val="70AE52B6"/>
    <w:rsid w:val="7461717C"/>
    <w:rsid w:val="776FD635"/>
    <w:rsid w:val="7BFB5DC7"/>
    <w:rsid w:val="7C7F8113"/>
    <w:rsid w:val="7E776AD1"/>
    <w:rsid w:val="7ED5A4FE"/>
    <w:rsid w:val="7EFF4D00"/>
    <w:rsid w:val="7F5FB3BE"/>
    <w:rsid w:val="7FE93221"/>
    <w:rsid w:val="7FEF67D1"/>
    <w:rsid w:val="7FFD0C47"/>
    <w:rsid w:val="7FFD384E"/>
    <w:rsid w:val="A3FEA0D8"/>
    <w:rsid w:val="B7464E0E"/>
    <w:rsid w:val="BB6F90AC"/>
    <w:rsid w:val="BFD263AF"/>
    <w:rsid w:val="BFFF612E"/>
    <w:rsid w:val="C6D91112"/>
    <w:rsid w:val="D7FFA90E"/>
    <w:rsid w:val="DCBC4F3F"/>
    <w:rsid w:val="DDF60D39"/>
    <w:rsid w:val="DF27C072"/>
    <w:rsid w:val="DFBFB616"/>
    <w:rsid w:val="DFD7D9DB"/>
    <w:rsid w:val="DFFD5A2C"/>
    <w:rsid w:val="E6EE7069"/>
    <w:rsid w:val="E7F49F08"/>
    <w:rsid w:val="E9EBFD5A"/>
    <w:rsid w:val="E9F950D5"/>
    <w:rsid w:val="EBFF662E"/>
    <w:rsid w:val="EBFF88FA"/>
    <w:rsid w:val="F33F9B1F"/>
    <w:rsid w:val="F3D7EBCF"/>
    <w:rsid w:val="F8BF3CC1"/>
    <w:rsid w:val="F9FBE1B7"/>
    <w:rsid w:val="FEFF3F1C"/>
    <w:rsid w:val="FF57CE81"/>
    <w:rsid w:val="FFB33EF0"/>
    <w:rsid w:val="FFB7704D"/>
    <w:rsid w:val="FFBFF1A1"/>
    <w:rsid w:val="FFD7A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heading 2"/>
    <w:next w:val="1"/>
    <w:link w:val="16"/>
    <w:unhideWhenUsed/>
    <w:qFormat/>
    <w:uiPriority w:val="9"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2">
    <w:name w:val="heading 3"/>
    <w:next w:val="1"/>
    <w:unhideWhenUsed/>
    <w:qFormat/>
    <w:uiPriority w:val="0"/>
    <w:pPr>
      <w:keepNext/>
      <w:keepLines/>
      <w:widowControl w:val="0"/>
      <w:spacing w:before="260" w:beforeLines="0" w:beforeAutospacing="0" w:after="260" w:afterLines="0" w:afterAutospacing="0" w:line="413" w:lineRule="auto"/>
      <w:jc w:val="both"/>
      <w:outlineLvl w:val="2"/>
    </w:pPr>
    <w:rPr>
      <w:rFonts w:ascii="Times New Roman" w:hAnsi="Times New Roman" w:eastAsia="仿宋_GB2312" w:cs="Times New Roman"/>
      <w:b/>
      <w:kern w:val="2"/>
      <w:sz w:val="32"/>
      <w:szCs w:val="32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5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Body Text Indent"/>
    <w:basedOn w:val="1"/>
    <w:next w:val="4"/>
    <w:qFormat/>
    <w:uiPriority w:val="0"/>
    <w:pPr>
      <w:spacing w:after="120" w:afterLines="0" w:afterAutospacing="0"/>
      <w:ind w:left="420" w:leftChars="200"/>
    </w:pPr>
  </w:style>
  <w:style w:type="paragraph" w:styleId="7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6"/>
    <w:next w:val="7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3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paragraph" w:customStyle="1" w:styleId="1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仿宋_GB2312" w:hAnsi="Calibri" w:eastAsia="仿宋_GB2312" w:cs="Times New Roman"/>
      <w:color w:val="000000"/>
      <w:sz w:val="24"/>
      <w:szCs w:val="24"/>
      <w:lang w:val="en-US" w:eastAsia="zh-CN"/>
    </w:rPr>
  </w:style>
  <w:style w:type="character" w:customStyle="1" w:styleId="16">
    <w:name w:val="标题 2 Char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5579</Words>
  <Characters>5628</Characters>
  <Lines>0</Lines>
  <Paragraphs>0</Paragraphs>
  <TotalTime>11</TotalTime>
  <ScaleCrop>false</ScaleCrop>
  <LinksUpToDate>false</LinksUpToDate>
  <CharactersWithSpaces>5677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2023-08-17T19:48:00Z</dcterms:created>
  <dc:creator>Administrator</dc:creator>
  <cp:lastModifiedBy>Administrator</cp:lastModifiedBy>
  <cp:lastPrinted>2025-07-30T18:01:00Z</cp:lastPrinted>
  <dcterms:modified xsi:type="dcterms:W3CDTF">2025-11-10T07:03:14Z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F1D55ED9A0A641A880446C85F2A590CA_13</vt:lpwstr>
  </property>
  <property fmtid="{D5CDD505-2E9C-101B-9397-08002B2CF9AE}" pid="4" name="KSOTemplateDocerSaveRecord">
    <vt:lpwstr>eyJoZGlkIjoiOTg1MTVmMmNjMmRlOWNiN2M3YTFlMzZmNmY3MmM1ZWMiLCJ1c2VySWQiOiIxMTUyMTIyODM1In0=</vt:lpwstr>
  </property>
</Properties>
</file>