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eastAsia="方正小标宋简体"/>
          <w:sz w:val="44"/>
          <w:szCs w:val="44"/>
        </w:rPr>
      </w:pPr>
      <w:r>
        <w:rPr>
          <w:rFonts w:hint="eastAsia" w:ascii="方正小标宋简体" w:eastAsia="方正小标宋简体"/>
          <w:sz w:val="44"/>
          <w:szCs w:val="44"/>
        </w:rPr>
        <w:t>七里海镇政务公开工作实施方案</w:t>
      </w:r>
    </w:p>
    <w:p>
      <w:pPr>
        <w:spacing w:line="400" w:lineRule="exact"/>
        <w:jc w:val="center"/>
        <w:rPr>
          <w:rFonts w:ascii="方正小标宋简体" w:eastAsia="方正小标宋简体"/>
          <w:sz w:val="44"/>
          <w:szCs w:val="44"/>
        </w:rPr>
      </w:pP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为进一步推动政务公开工作，提高行政机关行政行为的透明度和办事效率，积极发挥政务公开对建设法治政府、创新政府、廉洁政府的促进作用，进一步加大政务公开力度，扩大政务公开范围，提高政府工作的透明</w:t>
      </w:r>
      <w:bookmarkStart w:id="0" w:name="_GoBack"/>
      <w:bookmarkEnd w:id="0"/>
      <w:r>
        <w:rPr>
          <w:rFonts w:hint="eastAsia" w:ascii="方正仿宋简体" w:eastAsia="方正仿宋简体"/>
          <w:sz w:val="34"/>
          <w:szCs w:val="34"/>
        </w:rPr>
        <w:t>度，充分保障公民、法人和其他组织对政府工作的知情权、参与权和监督权。按</w:t>
      </w:r>
      <w:r>
        <w:rPr>
          <w:rFonts w:hint="eastAsia" w:ascii="方正仿宋简体" w:eastAsia="方正仿宋简体"/>
          <w:color w:val="000000" w:themeColor="text1"/>
          <w:sz w:val="34"/>
          <w:szCs w:val="34"/>
          <w14:textFill>
            <w14:solidFill>
              <w14:schemeClr w14:val="tx1"/>
            </w14:solidFill>
          </w14:textFill>
        </w:rPr>
        <w:t>照《201</w:t>
      </w:r>
      <w:r>
        <w:rPr>
          <w:rFonts w:hint="eastAsia" w:ascii="方正仿宋简体" w:eastAsia="方正仿宋简体"/>
          <w:color w:val="000000" w:themeColor="text1"/>
          <w:sz w:val="34"/>
          <w:szCs w:val="34"/>
          <w:lang w:val="en-US" w:eastAsia="zh-CN"/>
          <w14:textFill>
            <w14:solidFill>
              <w14:schemeClr w14:val="tx1"/>
            </w14:solidFill>
          </w14:textFill>
        </w:rPr>
        <w:t>9</w:t>
      </w:r>
      <w:r>
        <w:rPr>
          <w:rFonts w:hint="eastAsia" w:ascii="方正仿宋简体" w:eastAsia="方正仿宋简体"/>
          <w:color w:val="000000" w:themeColor="text1"/>
          <w:sz w:val="34"/>
          <w:szCs w:val="34"/>
          <w14:textFill>
            <w14:solidFill>
              <w14:schemeClr w14:val="tx1"/>
            </w14:solidFill>
          </w14:textFill>
        </w:rPr>
        <w:t>年宁河区政务公开工作要点》文件要</w:t>
      </w:r>
      <w:r>
        <w:rPr>
          <w:rFonts w:hint="eastAsia" w:ascii="方正仿宋简体" w:eastAsia="方正仿宋简体"/>
          <w:sz w:val="34"/>
          <w:szCs w:val="34"/>
        </w:rPr>
        <w:t>求，结合我镇实际，特制定本方案。</w:t>
      </w:r>
    </w:p>
    <w:p>
      <w:pPr>
        <w:spacing w:line="588" w:lineRule="exact"/>
        <w:ind w:firstLine="658"/>
        <w:rPr>
          <w:rFonts w:ascii="方正仿宋简体" w:eastAsia="方正仿宋简体"/>
          <w:b/>
          <w:sz w:val="34"/>
          <w:szCs w:val="34"/>
        </w:rPr>
      </w:pPr>
      <w:r>
        <w:rPr>
          <w:rFonts w:hint="eastAsia" w:ascii="方正仿宋简体" w:eastAsia="方正仿宋简体"/>
          <w:b/>
          <w:sz w:val="34"/>
          <w:szCs w:val="34"/>
        </w:rPr>
        <w:t>一、指导思想</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全面贯彻党的十九大和十九届二中、三中</w:t>
      </w:r>
      <w:r>
        <w:rPr>
          <w:rFonts w:hint="eastAsia" w:ascii="方正仿宋简体" w:eastAsia="方正仿宋简体"/>
          <w:sz w:val="34"/>
          <w:szCs w:val="34"/>
          <w:lang w:eastAsia="zh-CN"/>
        </w:rPr>
        <w:t>、四中</w:t>
      </w:r>
      <w:r>
        <w:rPr>
          <w:rFonts w:hint="eastAsia" w:ascii="方正仿宋简体" w:eastAsia="方正仿宋简体"/>
          <w:sz w:val="34"/>
          <w:szCs w:val="34"/>
        </w:rPr>
        <w:t>全会精神，以习近平新时代中国特色社会主义思想为指导，以习近平总书记对天津工作提出的“三个着力”重要要求为元为纲，围绕扎实推进“五位一体”总体布局、“四个全面”战略布局在天津的实施，按照党中央、国务院和市委、市政府及区委、区政府关于全面推进政务公开工作的部署和要求，坚持统筹兼顾、突出重点，大力推进决策、执行、管理、服务、深化简政放权、创新监管方式，促进经济社会持续健康发展，助力建设人民满意的服务型政府。</w:t>
      </w:r>
    </w:p>
    <w:p>
      <w:pPr>
        <w:spacing w:line="588" w:lineRule="exact"/>
        <w:ind w:firstLine="658"/>
        <w:rPr>
          <w:rFonts w:ascii="方正仿宋简体" w:eastAsia="方正仿宋简体"/>
          <w:b/>
          <w:sz w:val="34"/>
          <w:szCs w:val="34"/>
        </w:rPr>
      </w:pPr>
      <w:r>
        <w:rPr>
          <w:rFonts w:hint="eastAsia" w:ascii="方正仿宋简体" w:eastAsia="方正仿宋简体"/>
          <w:b/>
          <w:sz w:val="34"/>
          <w:szCs w:val="34"/>
        </w:rPr>
        <w:t xml:space="preserve">二、基本原则 </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按照“严格依法、全面真实、及时便民”的政务公开原则，积极稳妥地开展政务公开各项工作。严格依照法律法规和有关政策规定，对各类社会事务管理和公共服务事项，按照规定的制度和程序，对应该公开的事项，采取方便、快捷的方式及时公开。</w:t>
      </w:r>
    </w:p>
    <w:p>
      <w:pPr>
        <w:spacing w:line="588" w:lineRule="exact"/>
        <w:ind w:firstLine="658"/>
        <w:rPr>
          <w:rFonts w:ascii="方正仿宋简体" w:eastAsia="方正仿宋简体"/>
          <w:b/>
          <w:sz w:val="34"/>
          <w:szCs w:val="34"/>
        </w:rPr>
      </w:pPr>
      <w:r>
        <w:rPr>
          <w:rFonts w:hint="eastAsia" w:ascii="方正仿宋简体" w:eastAsia="方正仿宋简体"/>
          <w:b/>
          <w:sz w:val="34"/>
          <w:szCs w:val="34"/>
        </w:rPr>
        <w:t>三、公开形式</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主要依托宁河区电子政务外网，在保障安全的前提下，依法依规，及时准确向社会各界公开，稳步推动公共数据资源开放共享。同时，充分利用政务公开栏、村内广播站等固定设备及互联网、新媒体等新兴信息平台对涉及我镇的重要政务信息及时准确公布。此外，凡涉及群众切身利益与村务密切相关的政务，根据公开的内容、性质、要求、对象等，除在以上公开形式外，还采取会议、通知、印发办事指南，便民服务手册等宣传资料等各种形式分层次予以公开。</w:t>
      </w:r>
    </w:p>
    <w:p>
      <w:pPr>
        <w:spacing w:line="588" w:lineRule="exact"/>
        <w:ind w:firstLine="658"/>
        <w:rPr>
          <w:rFonts w:ascii="方正仿宋简体" w:eastAsia="方正仿宋简体"/>
          <w:b/>
          <w:sz w:val="34"/>
          <w:szCs w:val="34"/>
        </w:rPr>
      </w:pPr>
      <w:r>
        <w:rPr>
          <w:rFonts w:hint="eastAsia" w:ascii="方正仿宋简体" w:eastAsia="方正仿宋简体"/>
          <w:b/>
          <w:sz w:val="34"/>
          <w:szCs w:val="34"/>
        </w:rPr>
        <w:t>四、政务公开工作要点</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一）推进政府决策公开。坚持以公开为常态、不公开为例外，政府及部门制定的政策，除依法需要保密的外应及时公开，以公开促进依法行政和政策落地见效，充分保障人民群众的知情权。制定出台涉及公共利益、公众权益的政策文件，对公开相关信息作出明确规定，使政策执行更加阳光透明。</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二）推进建议提案办理结果公开。按照“谁承办、谁公开、谁发布”的原则，对建议提案办理结果进行公开和保密审查，对社会广泛关注、关系国计民生的建议提案，在门户网站及时公开办理结果，同时公开办理工作总体情况，更好回应社会关切，接受群众监督。</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（三）推进财政预决算领域政府信息公开。推动全面公开财政预决算信息，通过区政府信息公开专栏集中公开镇政府预决算，并编制目录，对公开内容进行分级、分类，方便公众查阅和监督。</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（四）推进社会公益事业建设领域政府信息公开。加强工作力度，着力在社会救助和社会福利、结对帮扶、教育、基本医疗卫生、环境保护、灾害事故救援、公共文化体育等领域进一步完善政府信息公开工作。</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（五）切实抓好重点领域信息公开工作的落实。切实抓好政府决策公开、议提案办理结果公开、财政预决算公开、以及社会公益事业建设等重点领域政府信息公开制度的贯彻落实。</w:t>
      </w:r>
    </w:p>
    <w:p>
      <w:pPr>
        <w:spacing w:line="588" w:lineRule="exact"/>
        <w:ind w:firstLine="658"/>
        <w:rPr>
          <w:rFonts w:ascii="方正仿宋简体" w:eastAsia="方正仿宋简体"/>
          <w:b/>
          <w:sz w:val="34"/>
          <w:szCs w:val="34"/>
        </w:rPr>
      </w:pPr>
      <w:r>
        <w:rPr>
          <w:rFonts w:hint="eastAsia" w:ascii="方正仿宋简体" w:eastAsia="方正仿宋简体"/>
          <w:b/>
          <w:sz w:val="34"/>
          <w:szCs w:val="34"/>
        </w:rPr>
        <w:t>五、政务公开工作要求</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一）牢牢把握推动高质量发展的根本要求，围绕实施乡村振兴战略、推进区域协调发展战略、推动形成全面开放新格局、提高保障和改善民生水平等重大部署，解读好相关政策措施、执行情况和工作成效，赢得人民群众的理解和支持。重点抓好落实防范化解重大风险、精准脱贫、污染防治三大攻坚战的相关政策措施解读工作，密切关注市场预期变化，把握好政策解读的节奏和力度，主动引导舆论，为推动政策落实营造良好环境。</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二）按照“谁起草、谁解读”的原则，各部门主要负责同志要履行好“第一解读人”的职责，通过发表解读文章、接受媒体采访和政务访谈等方式，深入解读政策背景、重点任务、后续工作考虑等，及时准确传递权威信息和政策意图。对一些专业性较强的政策，牵头起草部门要注重运用客观数据、生动实例等，进行形象化、通俗化解读，把政策解释清楚，避免误解误读。</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三）强化回应实效和约束机制。重点做好就学就医、住房保障、安全生产、防灾减灾救灾、食品药品安全、养老服务等民生方面的热点舆情回应，准确把握社会情绪，讲清楚问题成因、解决方案和制约因素等，更好引导社会预期。稳妥做好突发事件舆情回应工作，及时准确发布权威信息。开展政务舆情应对工作效果评估，建立问责制度，对重大政务舆情处置不得力、回应不妥当、报告不及时的涉事责任部门、村队及相关责任人员，予以通报批评或约谈整改。</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四）加强实体政务大厅建设管理和软硬件设施配备。着力加强计生、民政、社保等政务大厅的建设和管理。不断完善政务大厅的服务功能，切实提升服务保障能力，统筹服务资源，统一服务标准，理顺工作机制，强化部门协调，群众和企业必须到现场办理的事项力争“只进一扇门”、“最多跑一次”。做到一次性告知、一次性受理、一次性审核、一次性决定、一次性出具决定文书或证照结果。同时，强力提升实体政务大厅的服务作用和服务功能，以服务人民群众为根本目标，加大投入力度，切实做好人员、设施、经费保障。进一步优化力量配置，结合群众办事需求灵活设立综合窗口，避免不同服务窗口“冷热不均”现象。加强工作人员管理，规范服务行为，强化人员培训，切实提高办事人员服务能力和服务质量。</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五）加强政府信息公开审查工作。政府信息公开前要依法依规严格审查,落实公开属性源头认定机制,特别要做好对公开内容表述、公开时机、公开方式的研判，避免发生信息发布失信、影响社会稳定等问题。依法保护好个人隐私，除惩戒公示、强制性信息披露外，对于其他涉及个人隐私的政府信息，公开时要去标识化处理，选择恰当的方式和范围。</w:t>
      </w:r>
    </w:p>
    <w:p>
      <w:pPr>
        <w:spacing w:line="588" w:lineRule="exact"/>
        <w:ind w:firstLine="658"/>
        <w:rPr>
          <w:rFonts w:ascii="方正仿宋简体" w:eastAsia="方正仿宋简体"/>
          <w:b/>
          <w:sz w:val="34"/>
          <w:szCs w:val="34"/>
        </w:rPr>
      </w:pPr>
      <w:r>
        <w:rPr>
          <w:rFonts w:hint="eastAsia" w:ascii="方正仿宋简体" w:eastAsia="方正仿宋简体"/>
          <w:b/>
          <w:sz w:val="34"/>
          <w:szCs w:val="34"/>
        </w:rPr>
        <w:t>六、保障措施</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一）加强组织领导。各部门要把政务公开工作纳入重要议事日程，部门负责同志亲自抓,每年至少开展一次政务公开工作汇报,研究部署推动工作。按照年度工作安排抓好工作部署，将任务具体落实，细化分解，明确工作责任、具体要求、落实措施，加强工作指导，确保公开工作落实到位。</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（二）加强业务培训。各部门要根据实际工作需要，围绕新条例、政策解读、政务舆情回应等，精心安排培训科目和内容，有针对性地开展业务培训，不断提高政府工作人员做好政务公开工作的能力和水平。</w:t>
      </w:r>
    </w:p>
    <w:p>
      <w:pPr>
        <w:spacing w:line="588" w:lineRule="exact"/>
        <w:ind w:firstLine="658"/>
        <w:rPr>
          <w:rFonts w:ascii="方正仿宋简体" w:eastAsia="方正仿宋简体"/>
          <w:sz w:val="34"/>
          <w:szCs w:val="34"/>
        </w:rPr>
      </w:pPr>
      <w:r>
        <w:rPr>
          <w:rFonts w:hint="eastAsia" w:ascii="方正仿宋简体" w:eastAsia="方正仿宋简体"/>
          <w:sz w:val="34"/>
          <w:szCs w:val="34"/>
        </w:rPr>
        <w:t>（三）加强督查考核。继续将政务公开工作纳入绩效考评范围，各部门定期开展自查，对发现的问题及时进行整改。镇综合办公室会同镇纪委将适时对各部门工作落实情况进行督查考核。</w:t>
      </w:r>
    </w:p>
    <w:p>
      <w:pPr>
        <w:spacing w:line="588" w:lineRule="exact"/>
        <w:ind w:firstLine="658"/>
        <w:jc w:val="left"/>
        <w:rPr>
          <w:rFonts w:ascii="方正仿宋简体" w:eastAsia="方正仿宋简体"/>
          <w:sz w:val="34"/>
          <w:szCs w:val="34"/>
        </w:rPr>
      </w:pPr>
    </w:p>
    <w:p>
      <w:pPr>
        <w:wordWrap w:val="0"/>
        <w:spacing w:line="588" w:lineRule="exact"/>
        <w:ind w:firstLine="658"/>
        <w:jc w:val="right"/>
        <w:rPr>
          <w:rFonts w:ascii="方正仿宋简体" w:eastAsia="方正仿宋简体"/>
          <w:sz w:val="34"/>
          <w:szCs w:val="34"/>
        </w:rPr>
      </w:pPr>
      <w:r>
        <w:rPr>
          <w:rFonts w:hint="eastAsia" w:ascii="方正仿宋简体" w:eastAsia="方正仿宋简体"/>
          <w:sz w:val="34"/>
          <w:szCs w:val="34"/>
        </w:rPr>
        <w:t xml:space="preserve">七里海镇人民政府    </w:t>
      </w:r>
    </w:p>
    <w:p>
      <w:pPr>
        <w:wordWrap w:val="0"/>
        <w:spacing w:line="588" w:lineRule="exact"/>
        <w:ind w:firstLine="658"/>
        <w:jc w:val="right"/>
        <w:rPr>
          <w:rFonts w:ascii="方正仿宋简体" w:eastAsia="方正仿宋简体"/>
          <w:sz w:val="34"/>
          <w:szCs w:val="34"/>
        </w:rPr>
      </w:pPr>
      <w:r>
        <w:rPr>
          <w:rFonts w:hint="eastAsia" w:ascii="方正仿宋简体" w:eastAsia="方正仿宋简体"/>
          <w:sz w:val="34"/>
          <w:szCs w:val="34"/>
        </w:rPr>
        <w:t>201</w:t>
      </w:r>
      <w:r>
        <w:rPr>
          <w:rFonts w:hint="eastAsia" w:ascii="方正仿宋简体" w:eastAsia="方正仿宋简体"/>
          <w:sz w:val="34"/>
          <w:szCs w:val="34"/>
          <w:lang w:val="en-US" w:eastAsia="zh-CN"/>
        </w:rPr>
        <w:t>9</w:t>
      </w:r>
      <w:r>
        <w:rPr>
          <w:rFonts w:hint="eastAsia" w:ascii="方正仿宋简体" w:eastAsia="方正仿宋简体"/>
          <w:sz w:val="34"/>
          <w:szCs w:val="34"/>
        </w:rPr>
        <w:t>年</w:t>
      </w:r>
      <w:r>
        <w:rPr>
          <w:rFonts w:hint="eastAsia" w:ascii="方正仿宋简体" w:eastAsia="方正仿宋简体"/>
          <w:sz w:val="34"/>
          <w:szCs w:val="34"/>
          <w:lang w:val="en-US" w:eastAsia="zh-CN"/>
        </w:rPr>
        <w:t>9</w:t>
      </w:r>
      <w:r>
        <w:rPr>
          <w:rFonts w:hint="eastAsia" w:ascii="方正仿宋简体" w:eastAsia="方正仿宋简体"/>
          <w:sz w:val="34"/>
          <w:szCs w:val="34"/>
        </w:rPr>
        <w:t>月</w:t>
      </w:r>
      <w:r>
        <w:rPr>
          <w:rFonts w:hint="eastAsia" w:ascii="方正仿宋简体" w:eastAsia="方正仿宋简体"/>
          <w:sz w:val="34"/>
          <w:szCs w:val="34"/>
          <w:lang w:val="en-US" w:eastAsia="zh-CN"/>
        </w:rPr>
        <w:t>29</w:t>
      </w:r>
      <w:r>
        <w:rPr>
          <w:rFonts w:hint="eastAsia" w:ascii="方正仿宋简体" w:eastAsia="方正仿宋简体"/>
          <w:sz w:val="34"/>
          <w:szCs w:val="34"/>
        </w:rPr>
        <w:t xml:space="preserve">日    </w:t>
      </w: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9D"/>
    <w:rsid w:val="0007727E"/>
    <w:rsid w:val="00146E8B"/>
    <w:rsid w:val="00176BF5"/>
    <w:rsid w:val="001A346D"/>
    <w:rsid w:val="001D44FD"/>
    <w:rsid w:val="001E00D3"/>
    <w:rsid w:val="00211741"/>
    <w:rsid w:val="002139E3"/>
    <w:rsid w:val="002523B6"/>
    <w:rsid w:val="00263EB9"/>
    <w:rsid w:val="00291FF2"/>
    <w:rsid w:val="002A2FEE"/>
    <w:rsid w:val="002B3E13"/>
    <w:rsid w:val="00330272"/>
    <w:rsid w:val="003346F7"/>
    <w:rsid w:val="00416219"/>
    <w:rsid w:val="00424D84"/>
    <w:rsid w:val="00465C57"/>
    <w:rsid w:val="00474313"/>
    <w:rsid w:val="004A7CBD"/>
    <w:rsid w:val="004D248C"/>
    <w:rsid w:val="004D3E57"/>
    <w:rsid w:val="00503F00"/>
    <w:rsid w:val="0050520F"/>
    <w:rsid w:val="005C660C"/>
    <w:rsid w:val="006150BA"/>
    <w:rsid w:val="00625DB9"/>
    <w:rsid w:val="00662023"/>
    <w:rsid w:val="00691D53"/>
    <w:rsid w:val="006B1E0C"/>
    <w:rsid w:val="006B2DA7"/>
    <w:rsid w:val="0073724D"/>
    <w:rsid w:val="0076701B"/>
    <w:rsid w:val="00786F4B"/>
    <w:rsid w:val="007A34FA"/>
    <w:rsid w:val="007B7D7F"/>
    <w:rsid w:val="008064B1"/>
    <w:rsid w:val="008271B2"/>
    <w:rsid w:val="008274C6"/>
    <w:rsid w:val="008D7341"/>
    <w:rsid w:val="008D7B3B"/>
    <w:rsid w:val="00922AA9"/>
    <w:rsid w:val="00937575"/>
    <w:rsid w:val="00966C9B"/>
    <w:rsid w:val="00980ACF"/>
    <w:rsid w:val="009F2E53"/>
    <w:rsid w:val="00A758C0"/>
    <w:rsid w:val="00A96B40"/>
    <w:rsid w:val="00B276E1"/>
    <w:rsid w:val="00B408F4"/>
    <w:rsid w:val="00B444FD"/>
    <w:rsid w:val="00B97E18"/>
    <w:rsid w:val="00BA018E"/>
    <w:rsid w:val="00BB207C"/>
    <w:rsid w:val="00BB319D"/>
    <w:rsid w:val="00BD37AC"/>
    <w:rsid w:val="00C60408"/>
    <w:rsid w:val="00C744A0"/>
    <w:rsid w:val="00D44670"/>
    <w:rsid w:val="00D577DF"/>
    <w:rsid w:val="00DB70ED"/>
    <w:rsid w:val="00E22A46"/>
    <w:rsid w:val="00E30D8F"/>
    <w:rsid w:val="00E74657"/>
    <w:rsid w:val="00E87ACC"/>
    <w:rsid w:val="00E91528"/>
    <w:rsid w:val="00E97FDA"/>
    <w:rsid w:val="00EE0A9D"/>
    <w:rsid w:val="00F01CE5"/>
    <w:rsid w:val="00F12212"/>
    <w:rsid w:val="00FC44DD"/>
    <w:rsid w:val="04F264AE"/>
    <w:rsid w:val="0FC10C4B"/>
    <w:rsid w:val="10F6404D"/>
    <w:rsid w:val="11AB51B6"/>
    <w:rsid w:val="19412A7E"/>
    <w:rsid w:val="22B26E23"/>
    <w:rsid w:val="2349680D"/>
    <w:rsid w:val="24CD7993"/>
    <w:rsid w:val="2CB2594A"/>
    <w:rsid w:val="369673C8"/>
    <w:rsid w:val="404238D0"/>
    <w:rsid w:val="717A6524"/>
    <w:rsid w:val="7B806633"/>
    <w:rsid w:val="7FFBD823"/>
    <w:rsid w:val="AABB8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399</Words>
  <Characters>2276</Characters>
  <Lines>18</Lines>
  <Paragraphs>5</Paragraphs>
  <TotalTime>315</TotalTime>
  <ScaleCrop>false</ScaleCrop>
  <LinksUpToDate>false</LinksUpToDate>
  <CharactersWithSpaces>2670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2018-07-25T11:13:00Z</dcterms:created>
  <dc:creator>Lenovo</dc:creator>
  <cp:lastModifiedBy>greatwall</cp:lastModifiedBy>
  <cp:lastPrinted>2018-07-26T16:32:00Z</cp:lastPrinted>
  <dcterms:modified xsi:type="dcterms:W3CDTF">2023-12-21T14:33:43Z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