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七里海镇202</w:t>
      </w:r>
      <w:r>
        <w:rPr>
          <w:rFonts w:hint="default" w:ascii="方正小标宋简体" w:hAnsi="方正小标宋简体" w:eastAsia="方正小标宋简体" w:cs="方正小标宋简体"/>
          <w:b w:val="0"/>
          <w:bCs w:val="0"/>
          <w:color w:val="000000"/>
          <w:kern w:val="0"/>
          <w:sz w:val="44"/>
          <w:szCs w:val="44"/>
          <w:lang w:val="en-US" w:eastAsia="zh-CN"/>
        </w:rPr>
        <w:t>5</w:t>
      </w:r>
      <w:r>
        <w:rPr>
          <w:rFonts w:hint="eastAsia" w:ascii="方正小标宋简体" w:hAnsi="方正小标宋简体" w:eastAsia="方正小标宋简体" w:cs="方正小标宋简体"/>
          <w:b w:val="0"/>
          <w:bCs w:val="0"/>
          <w:color w:val="000000"/>
          <w:kern w:val="0"/>
          <w:sz w:val="44"/>
          <w:szCs w:val="44"/>
          <w:lang w:val="en-US" w:eastAsia="zh-CN"/>
        </w:rPr>
        <w:t>年</w:t>
      </w:r>
      <w:r>
        <w:rPr>
          <w:rFonts w:hint="eastAsia" w:ascii="方正小标宋简体" w:hAnsi="方正小标宋简体" w:eastAsia="方正小标宋简体" w:cs="方正小标宋简体"/>
          <w:b w:val="0"/>
          <w:bCs w:val="0"/>
          <w:color w:val="000000"/>
          <w:kern w:val="0"/>
          <w:sz w:val="44"/>
          <w:szCs w:val="44"/>
        </w:rPr>
        <w:t>政府信息公开工作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年度报告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21"/>
          <w:szCs w:val="21"/>
        </w:rPr>
      </w:pPr>
    </w:p>
    <w:p>
      <w:pPr>
        <w:widowControl/>
        <w:shd w:val="clear" w:color="auto" w:fill="FFFFFF"/>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本年度报告根据《中华人民共和国政府信息公开条例》（以下简称《条例》）要求编制，全文包括总体情况、主动公开政府信息情况、收到和处理政府信息公开申请情况、政府信息公开行政复议和行政诉讼情况、存在的主要问题及改进情况、其他需要报告的事项六部分组成。本年度报告中所列数据的统计期限自</w:t>
      </w:r>
      <w:r>
        <w:rPr>
          <w:rFonts w:hint="eastAsia" w:ascii="仿宋_GB2312" w:hAnsi="仿宋_GB2312" w:eastAsia="仿宋_GB2312" w:cs="仿宋_GB2312"/>
          <w:color w:val="000000"/>
          <w:kern w:val="0"/>
          <w:sz w:val="32"/>
          <w:szCs w:val="32"/>
          <w:lang w:val="en-US" w:eastAsia="zh-CN"/>
        </w:rPr>
        <w:t>2025年1月1日起至2025年12月31日止。</w:t>
      </w:r>
    </w:p>
    <w:p>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一、总体情况</w:t>
      </w:r>
    </w:p>
    <w:p>
      <w:pPr>
        <w:widowControl/>
        <w:shd w:val="clear" w:color="auto" w:fill="FFFFFF"/>
        <w:ind w:firstLine="48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2025年，我镇坚持以习近平新时代中国特色社会主义思想为指导，深入贯彻党的二十大及二十届四中全会精神，紧紧围绕基层治理现代化、乡村振兴（城市更新）等中心工作，将政府信息公开作为保障群众知情权、参与权、监督权的重要举措，持续深化公开内容、优化公开渠道、健全工作机制，推动政务公开与业务工作深度融合。</w:t>
      </w:r>
    </w:p>
    <w:p>
      <w:pPr>
        <w:widowControl/>
        <w:numPr>
          <w:ilvl w:val="0"/>
          <w:numId w:val="1"/>
        </w:numPr>
        <w:shd w:val="clear" w:color="auto" w:fill="FFFFFF"/>
        <w:ind w:firstLine="480"/>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主动公开方面</w:t>
      </w:r>
    </w:p>
    <w:p>
      <w:pPr>
        <w:widowControl/>
        <w:shd w:val="clear" w:color="auto" w:fill="FFFFFF"/>
        <w:ind w:firstLine="48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积极运用“宁河区人民政府”官网、七里海镇微信公众账号“秀美七里海”等方式公开各领域政府信息，定期向政府信息公开查阅服务中心报送纸质文件。2025年，通过多种渠道发布各类信息共计276条，通过微信公众账号发布动态类等信息261条，通过“宁河区人民政府”官网积极主动公开各类政府信息15条，其中，政府信息公开指南1条、行政处罚11条、财政预决算1条、其他法定公开信息2条。</w:t>
      </w:r>
    </w:p>
    <w:p>
      <w:pPr>
        <w:widowControl/>
        <w:numPr>
          <w:ilvl w:val="0"/>
          <w:numId w:val="1"/>
        </w:numPr>
        <w:shd w:val="clear" w:color="auto" w:fill="FFFFFF"/>
        <w:ind w:firstLine="480"/>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依申请公开方面</w:t>
      </w:r>
    </w:p>
    <w:p>
      <w:pPr>
        <w:widowControl/>
        <w:shd w:val="clear" w:color="auto" w:fill="FFFFFF"/>
        <w:ind w:firstLine="48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2025年，未收到公民、法人及其他组织要求公开相关信息的事项申请。</w:t>
      </w:r>
    </w:p>
    <w:p>
      <w:pPr>
        <w:widowControl/>
        <w:numPr>
          <w:ilvl w:val="0"/>
          <w:numId w:val="1"/>
        </w:numPr>
        <w:shd w:val="clear" w:color="auto" w:fill="FFFFFF"/>
        <w:ind w:left="0" w:leftChars="0" w:firstLine="480" w:firstLineChars="0"/>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政府信息管理情况</w:t>
      </w:r>
    </w:p>
    <w:p>
      <w:pPr>
        <w:widowControl/>
        <w:shd w:val="clear" w:color="auto" w:fill="FFFFFF"/>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严格落实政府信息管理要求，筑牢信息公开基础防线。建立健全信息生成、审核、发布、归档闭环机制，明确各部门信息管理员职责，确保公开信息真实准确、合规合法，并规范信息归档管理。同时，定期开展信息管理自查，重点排查公开内容是否存在错漏、归档资料是否完整，及时整改问题3个，有效提升政府信息管理规范化水平。</w:t>
      </w:r>
    </w:p>
    <w:p>
      <w:pPr>
        <w:widowControl/>
        <w:numPr>
          <w:ilvl w:val="0"/>
          <w:numId w:val="1"/>
        </w:numPr>
        <w:shd w:val="clear" w:color="auto" w:fill="FFFFFF"/>
        <w:ind w:left="0" w:leftChars="0" w:firstLine="480" w:firstLineChars="0"/>
        <w:rPr>
          <w:rFonts w:hint="default"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平台建设情况</w:t>
      </w:r>
    </w:p>
    <w:p>
      <w:pPr>
        <w:widowControl/>
        <w:shd w:val="clear" w:color="auto" w:fill="FFFFFF"/>
        <w:ind w:firstLine="48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优化政府信息公开专栏内容，整合政策文件、办事指南等资源，及时公布公开行政执法内容结果。依托“秀美七里海”的微信公众平台以及村级网格微信群推送惠民信息二百余条。</w:t>
      </w:r>
      <w:bookmarkStart w:id="0" w:name="_GoBack"/>
      <w:bookmarkEnd w:id="0"/>
    </w:p>
    <w:p>
      <w:pPr>
        <w:widowControl/>
        <w:numPr>
          <w:ilvl w:val="0"/>
          <w:numId w:val="1"/>
        </w:numPr>
        <w:shd w:val="clear" w:color="auto" w:fill="FFFFFF"/>
        <w:ind w:left="0" w:leftChars="0" w:firstLine="480" w:firstLineChars="0"/>
        <w:rPr>
          <w:rFonts w:hint="default"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监督保障情况</w:t>
      </w:r>
    </w:p>
    <w:p>
      <w:pPr>
        <w:widowControl/>
        <w:shd w:val="clear" w:color="auto" w:fill="FFFFFF"/>
        <w:ind w:firstLine="48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加强对政务公开信息内容的监督监控，时刻保障公开信息的时效性、准确性、规范性以及安全性。严格遵守信息公开的各项规章制度及审查程序加强网站内容的监督保障，推动政务公开工作有效开展。</w:t>
      </w:r>
    </w:p>
    <w:p>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二、主动公开政府信息情况</w:t>
      </w:r>
    </w:p>
    <w:p>
      <w:pPr>
        <w:widowControl/>
        <w:shd w:val="clear" w:color="auto" w:fill="FFFFFF"/>
        <w:ind w:firstLine="480"/>
        <w:rPr>
          <w:rFonts w:hint="eastAsia" w:ascii="宋体" w:hAnsi="宋体" w:eastAsia="宋体" w:cs="宋体"/>
          <w:color w:val="000000"/>
          <w:kern w:val="0"/>
          <w:sz w:val="24"/>
          <w:szCs w:val="24"/>
        </w:rPr>
      </w:pPr>
    </w:p>
    <w:tbl>
      <w:tblPr>
        <w:tblStyle w:val="2"/>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cantSplit/>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第二十条第（一）项</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w:t>
            </w:r>
            <w:r>
              <w:rPr>
                <w:rFonts w:ascii="宋体" w:hAnsi="宋体" w:eastAsia="宋体" w:cs="宋体"/>
                <w:color w:val="000000"/>
                <w:kern w:val="0"/>
                <w:sz w:val="28"/>
                <w:szCs w:val="28"/>
              </w:rPr>
              <w:t>制</w:t>
            </w:r>
            <w:r>
              <w:rPr>
                <w:rFonts w:hint="eastAsia" w:ascii="宋体" w:hAnsi="宋体" w:eastAsia="宋体" w:cs="宋体"/>
                <w:color w:val="000000"/>
                <w:kern w:val="0"/>
                <w:sz w:val="28"/>
                <w:szCs w:val="28"/>
              </w:rPr>
              <w:t>发件</w:t>
            </w:r>
            <w:r>
              <w:rPr>
                <w:rFonts w:ascii="宋体" w:hAnsi="宋体" w:eastAsia="宋体" w:cs="宋体"/>
                <w:color w:val="000000"/>
                <w:kern w:val="0"/>
                <w:sz w:val="28"/>
                <w:szCs w:val="28"/>
              </w:rPr>
              <w:t>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现行有效件</w:t>
            </w:r>
            <w:r>
              <w:rPr>
                <w:rFonts w:ascii="宋体" w:hAnsi="宋体" w:eastAsia="宋体" w:cs="宋体"/>
                <w:color w:val="000000"/>
                <w:kern w:val="0"/>
                <w:sz w:val="28"/>
                <w:szCs w:val="28"/>
              </w:rPr>
              <w:t>数</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tblPrEx>
          <w:tblCellMar>
            <w:top w:w="0" w:type="dxa"/>
            <w:left w:w="0" w:type="dxa"/>
            <w:bottom w:w="0" w:type="dxa"/>
            <w:right w:w="0" w:type="dxa"/>
          </w:tblCellMar>
        </w:tblPrEx>
        <w:trPr>
          <w:cantSplit/>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第二十条第（五）项</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本年处理决定数量</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tblPrEx>
          <w:tblCellMar>
            <w:top w:w="0" w:type="dxa"/>
            <w:left w:w="0" w:type="dxa"/>
            <w:bottom w:w="0" w:type="dxa"/>
            <w:right w:w="0" w:type="dxa"/>
          </w:tblCellMar>
        </w:tblPrEx>
        <w:trPr>
          <w:cantSplit/>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第二十条第（六）项</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本年处理决定数量</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11</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w:t>
            </w:r>
          </w:p>
        </w:tc>
      </w:tr>
      <w:tr>
        <w:tblPrEx>
          <w:tblCellMar>
            <w:top w:w="0" w:type="dxa"/>
            <w:left w:w="0" w:type="dxa"/>
            <w:bottom w:w="0" w:type="dxa"/>
            <w:right w:w="0" w:type="dxa"/>
          </w:tblCellMar>
        </w:tblPrEx>
        <w:trPr>
          <w:cantSplit/>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第二十条第（八）项</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本年收费金额（单位：万元）</w:t>
            </w:r>
          </w:p>
        </w:tc>
      </w:tr>
      <w:tr>
        <w:tblPrEx>
          <w:tblCellMar>
            <w:top w:w="0" w:type="dxa"/>
            <w:left w:w="0" w:type="dxa"/>
            <w:bottom w:w="0" w:type="dxa"/>
            <w:right w:w="0" w:type="dxa"/>
          </w:tblCellMar>
        </w:tblPrEx>
        <w:trPr>
          <w:cantSplit/>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widowControl/>
              <w:jc w:val="left"/>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0.55</w:t>
            </w:r>
          </w:p>
        </w:tc>
      </w:tr>
    </w:tbl>
    <w:p>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三、收到和处理政府信息公开申请情况</w:t>
      </w:r>
    </w:p>
    <w:p>
      <w:pPr>
        <w:widowControl/>
        <w:shd w:val="clear" w:color="auto" w:fill="FFFFFF"/>
        <w:ind w:firstLine="480"/>
        <w:rPr>
          <w:rFonts w:hint="eastAsia" w:ascii="宋体" w:hAnsi="宋体" w:eastAsia="宋体" w:cs="宋体"/>
          <w:color w:val="000000"/>
          <w:kern w:val="0"/>
          <w:sz w:val="24"/>
          <w:szCs w:val="24"/>
        </w:rPr>
      </w:pPr>
    </w:p>
    <w:tbl>
      <w:tblPr>
        <w:tblStyle w:val="2"/>
        <w:tblW w:w="9748" w:type="dxa"/>
        <w:jc w:val="center"/>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noWrap w:val="0"/>
            <w:tcMar>
              <w:top w:w="0" w:type="dxa"/>
              <w:left w:w="108" w:type="dxa"/>
              <w:bottom w:w="0" w:type="dxa"/>
              <w:right w:w="108" w:type="dxa"/>
            </w:tcMar>
            <w:vAlign w:val="center"/>
          </w:tcPr>
          <w:p>
            <w:pPr>
              <w:widowControl/>
              <w:jc w:val="left"/>
              <w:rPr>
                <w:rFonts w:ascii="宋体" w:hAnsi="宋体" w:eastAsia="宋体" w:cs="宋体"/>
                <w:color w:val="000000"/>
                <w:kern w:val="0"/>
                <w:sz w:val="24"/>
                <w:szCs w:val="24"/>
              </w:rPr>
            </w:pPr>
            <w:r>
              <w:rPr>
                <w:rFonts w:hint="eastAsia" w:ascii="楷体" w:hAnsi="楷体" w:eastAsia="楷体" w:cs="宋体"/>
                <w:color w:val="000000"/>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688" w:type="dxa"/>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法人或其他组织</w:t>
            </w:r>
          </w:p>
        </w:tc>
        <w:tc>
          <w:tcPr>
            <w:tcW w:w="689" w:type="dxa"/>
            <w:vMerge w:val="restart"/>
            <w:tcBorders>
              <w:top w:val="single" w:color="auto" w:sz="8" w:space="0"/>
              <w:left w:val="nil"/>
              <w:bottom w:val="inset"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0" w:type="auto"/>
            <w:vMerge w:val="continue"/>
            <w:tcBorders>
              <w:top w:val="nil"/>
              <w:left w:val="nil"/>
              <w:bottom w:val="single"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商业</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科研</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0"/>
                <w:szCs w:val="20"/>
              </w:rPr>
              <w:t>其他</w:t>
            </w:r>
          </w:p>
        </w:tc>
        <w:tc>
          <w:tcPr>
            <w:tcW w:w="0" w:type="auto"/>
            <w:vMerge w:val="continue"/>
            <w:tcBorders>
              <w:top w:val="single" w:color="auto" w:sz="8" w:space="0"/>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r>
      <w:tr>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default" w:ascii="宋体" w:hAnsi="宋体" w:eastAsia="宋体" w:cs="宋体"/>
                <w:color w:val="000000"/>
                <w:kern w:val="0"/>
                <w:sz w:val="24"/>
                <w:szCs w:val="24"/>
                <w:lang w:val="en"/>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hint="default" w:ascii="宋体" w:hAnsi="宋体" w:eastAsia="宋体" w:cs="宋体"/>
                <w:color w:val="000000"/>
                <w:kern w:val="0"/>
                <w:sz w:val="24"/>
                <w:szCs w:val="24"/>
                <w:lang w:val="en" w:eastAsia="zh-CN"/>
              </w:rPr>
            </w:pPr>
            <w:r>
              <w:rPr>
                <w:rFonts w:hint="eastAsia" w:ascii="宋体" w:hAnsi="宋体" w:cs="宋体"/>
                <w:color w:val="000000"/>
                <w:kern w:val="0"/>
                <w:sz w:val="24"/>
                <w:szCs w:val="24"/>
                <w:lang w:val="en-US" w:eastAsia="zh-CN"/>
              </w:rPr>
              <w:t>0</w:t>
            </w:r>
          </w:p>
        </w:tc>
      </w:tr>
      <w:tr>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default" w:ascii="宋体" w:hAnsi="宋体" w:eastAsia="宋体" w:cs="宋体"/>
                <w:color w:val="000000"/>
                <w:kern w:val="0"/>
                <w:sz w:val="24"/>
                <w:szCs w:val="24"/>
                <w:lang w:val="en" w:eastAsia="zh-CN" w:bidi="ar-SA"/>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lang w:val="en-US" w:eastAsia="zh-CN" w:bidi="ar-SA"/>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lang w:val="en-US" w:eastAsia="zh-CN" w:bidi="ar-SA"/>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lang w:val="en-US" w:eastAsia="zh-CN" w:bidi="ar-SA"/>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lang w:val="en-US" w:eastAsia="zh-CN" w:bidi="ar-SA"/>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三、本年度办理结果</w:t>
            </w:r>
          </w:p>
        </w:tc>
        <w:tc>
          <w:tcPr>
            <w:tcW w:w="4163"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default" w:ascii="宋体" w:hAnsi="宋体" w:eastAsia="宋体" w:cs="宋体"/>
                <w:color w:val="000000"/>
                <w:kern w:val="0"/>
                <w:sz w:val="24"/>
                <w:szCs w:val="24"/>
                <w:lang w:val="en" w:eastAsia="zh-CN" w:bidi="ar-SA"/>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lang w:val="en-US" w:eastAsia="zh-CN" w:bidi="ar-SA"/>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lang w:val="en-US" w:eastAsia="zh-CN" w:bidi="ar-SA"/>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lang w:val="en-US" w:eastAsia="zh-CN" w:bidi="ar-SA"/>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lang w:val="en-US" w:eastAsia="zh-CN" w:bidi="ar-SA"/>
              </w:rPr>
            </w:pPr>
            <w:r>
              <w:rPr>
                <w:rFonts w:hint="default" w:ascii="宋体" w:hAnsi="宋体" w:cs="宋体"/>
                <w:color w:val="000000"/>
                <w:kern w:val="0"/>
                <w:sz w:val="24"/>
                <w:szCs w:val="24"/>
                <w:lang w:val="en"/>
              </w:rPr>
              <w:t>0</w:t>
            </w:r>
          </w:p>
        </w:tc>
        <w:tc>
          <w:tcPr>
            <w:tcW w:w="689"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hint="default" w:ascii="宋体" w:hAnsi="宋体" w:eastAsia="宋体" w:cs="宋体"/>
                <w:color w:val="000000"/>
                <w:kern w:val="0"/>
                <w:sz w:val="24"/>
                <w:szCs w:val="24"/>
                <w:lang w:eastAsia="zh-CN" w:bidi="ar-SA"/>
              </w:rPr>
            </w:pPr>
            <w:r>
              <w:rPr>
                <w:rFonts w:hint="eastAsia" w:ascii="宋体" w:hAnsi="宋体" w:cs="宋体"/>
                <w:color w:val="000000"/>
                <w:kern w:val="0"/>
                <w:sz w:val="24"/>
                <w:szCs w:val="24"/>
                <w:lang w:val="en-US" w:eastAsia="zh-CN" w:bidi="ar-SA"/>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4163"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（二）部分公开</w:t>
            </w:r>
            <w:r>
              <w:rPr>
                <w:rFonts w:hint="eastAsia" w:ascii="楷体" w:hAnsi="楷体" w:eastAsia="楷体" w:cs="宋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（三）不予公开</w:t>
            </w: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（四）无法提供</w:t>
            </w: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（五）不予处理</w:t>
            </w: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nil"/>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inset"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restart"/>
            <w:tcBorders>
              <w:top w:val="inset" w:color="auto" w:sz="8" w:space="0"/>
              <w:left w:val="nil"/>
              <w:bottom w:val="inset"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（六）其他处理</w:t>
            </w: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inset" w:color="auto" w:sz="8" w:space="0"/>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943" w:type="dxa"/>
            <w:vMerge w:val="continue"/>
            <w:tcBorders>
              <w:top w:val="inset" w:color="auto" w:sz="8" w:space="0"/>
              <w:left w:val="nil"/>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3220"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widowControl/>
              <w:jc w:val="left"/>
              <w:rPr>
                <w:rFonts w:ascii="宋体" w:hAnsi="宋体" w:eastAsia="宋体" w:cs="宋体"/>
                <w:color w:val="000000"/>
                <w:kern w:val="0"/>
                <w:sz w:val="24"/>
                <w:szCs w:val="24"/>
              </w:rPr>
            </w:pPr>
          </w:p>
        </w:tc>
        <w:tc>
          <w:tcPr>
            <w:tcW w:w="4163"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hint="default"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hint="default"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0</w:t>
            </w:r>
          </w:p>
        </w:tc>
      </w:tr>
      <w:tr>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8"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c>
          <w:tcPr>
            <w:tcW w:w="689"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widowControl/>
              <w:jc w:val="center"/>
              <w:rPr>
                <w:rFonts w:ascii="宋体" w:hAnsi="宋体" w:eastAsia="宋体" w:cs="宋体"/>
                <w:color w:val="000000"/>
                <w:kern w:val="0"/>
                <w:sz w:val="24"/>
                <w:szCs w:val="24"/>
              </w:rPr>
            </w:pPr>
            <w:r>
              <w:rPr>
                <w:rFonts w:hint="default" w:ascii="宋体" w:hAnsi="宋体" w:cs="宋体"/>
                <w:color w:val="000000"/>
                <w:kern w:val="0"/>
                <w:sz w:val="24"/>
                <w:szCs w:val="24"/>
                <w:lang w:val="en"/>
              </w:rPr>
              <w:t>0</w:t>
            </w:r>
          </w:p>
        </w:tc>
      </w:tr>
    </w:tbl>
    <w:p>
      <w:pPr>
        <w:widowControl/>
        <w:shd w:val="clear" w:color="auto" w:fill="FFFFFF"/>
        <w:jc w:val="center"/>
        <w:rPr>
          <w:rFonts w:hint="eastAsia" w:ascii="宋体" w:hAnsi="宋体" w:eastAsia="宋体" w:cs="宋体"/>
          <w:color w:val="000000"/>
          <w:kern w:val="0"/>
          <w:sz w:val="24"/>
          <w:szCs w:val="24"/>
        </w:rPr>
      </w:pPr>
    </w:p>
    <w:p>
      <w:pPr>
        <w:widowControl/>
        <w:shd w:val="clear" w:color="auto" w:fill="FFFFFF"/>
        <w:jc w:val="center"/>
        <w:rPr>
          <w:rFonts w:hint="eastAsia" w:ascii="宋体" w:hAnsi="宋体" w:eastAsia="宋体" w:cs="宋体"/>
          <w:color w:val="000000"/>
          <w:kern w:val="0"/>
          <w:sz w:val="24"/>
          <w:szCs w:val="24"/>
        </w:rPr>
      </w:pPr>
    </w:p>
    <w:p>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四、政府信息公开行政复议、行政诉讼情况</w:t>
      </w:r>
    </w:p>
    <w:p>
      <w:pPr>
        <w:widowControl/>
        <w:shd w:val="clear" w:color="auto" w:fill="FFFFFF"/>
        <w:jc w:val="center"/>
        <w:rPr>
          <w:rFonts w:hint="eastAsia" w:ascii="宋体" w:hAnsi="宋体" w:eastAsia="宋体" w:cs="宋体"/>
          <w:color w:val="000000"/>
          <w:kern w:val="0"/>
          <w:sz w:val="24"/>
          <w:szCs w:val="24"/>
        </w:rPr>
      </w:pPr>
    </w:p>
    <w:tbl>
      <w:tblPr>
        <w:tblStyle w:val="2"/>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结果维持</w:t>
            </w:r>
          </w:p>
        </w:tc>
        <w:tc>
          <w:tcPr>
            <w:tcW w:w="642"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尚未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color w:val="000000"/>
                <w:kern w:val="0"/>
                <w:sz w:val="21"/>
                <w:szCs w:val="21"/>
              </w:rPr>
            </w:pPr>
          </w:p>
        </w:tc>
        <w:tc>
          <w:tcPr>
            <w:tcW w:w="0" w:type="auto"/>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eastAsia="宋体" w:cs="宋体"/>
                <w:color w:val="000000"/>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cs="宋体"/>
                <w:color w:val="000000"/>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cs="宋体"/>
                <w:color w:val="000000"/>
                <w:kern w:val="0"/>
                <w:sz w:val="21"/>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宋体" w:hAnsi="宋体" w:eastAsia="宋体" w:cs="宋体"/>
                <w:color w:val="000000"/>
                <w:kern w:val="0"/>
                <w:sz w:val="21"/>
                <w:szCs w:val="21"/>
              </w:rPr>
            </w:pP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维持</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纠正</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结果</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尚未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审结</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总计</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维持</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结果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纠正</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其他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结果</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尚未</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审结</w:t>
            </w:r>
          </w:p>
        </w:tc>
        <w:tc>
          <w:tcPr>
            <w:tcW w:w="6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宋体" w:hAnsi="宋体" w:eastAsia="宋体" w:cs="宋体"/>
                <w:color w:val="000000"/>
                <w:kern w:val="0"/>
                <w:sz w:val="21"/>
                <w:szCs w:val="21"/>
                <w:lang w:val="en"/>
              </w:rPr>
            </w:pPr>
            <w:r>
              <w:rPr>
                <w:rFonts w:hint="default" w:ascii="宋体" w:hAnsi="宋体" w:cs="宋体"/>
                <w:color w:val="000000"/>
                <w:kern w:val="0"/>
                <w:sz w:val="21"/>
                <w:szCs w:val="21"/>
                <w:lang w:val="en"/>
              </w:rPr>
              <w:t>0</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lang w:val="e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1"/>
                <w:szCs w:val="21"/>
                <w:lang w:val="en-US" w:eastAsia="zh-CN"/>
              </w:rPr>
            </w:pPr>
            <w:r>
              <w:rPr>
                <w:rFonts w:hint="default" w:ascii="宋体" w:hAnsi="宋体" w:cs="宋体"/>
                <w:color w:val="000000"/>
                <w:kern w:val="0"/>
                <w:sz w:val="21"/>
                <w:szCs w:val="21"/>
                <w:lang w:val="e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000000"/>
                <w:kern w:val="0"/>
                <w:sz w:val="21"/>
                <w:szCs w:val="21"/>
                <w:lang w:val="en-US" w:eastAsia="zh-CN"/>
              </w:rPr>
            </w:pPr>
            <w:r>
              <w:rPr>
                <w:rFonts w:hint="default" w:ascii="宋体" w:hAnsi="宋体" w:cs="宋体"/>
                <w:color w:val="000000"/>
                <w:kern w:val="0"/>
                <w:sz w:val="21"/>
                <w:szCs w:val="21"/>
                <w:lang w:val="e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c>
          <w:tcPr>
            <w:tcW w:w="6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eastAsia="宋体" w:cs="宋体"/>
                <w:color w:val="000000"/>
                <w:kern w:val="0"/>
                <w:sz w:val="21"/>
                <w:szCs w:val="21"/>
              </w:rPr>
            </w:pPr>
            <w:r>
              <w:rPr>
                <w:rFonts w:hint="default" w:ascii="宋体" w:hAnsi="宋体" w:cs="宋体"/>
                <w:color w:val="000000"/>
                <w:kern w:val="0"/>
                <w:sz w:val="21"/>
                <w:szCs w:val="21"/>
                <w:lang w:val="en"/>
              </w:rPr>
              <w:t>0</w:t>
            </w:r>
          </w:p>
        </w:tc>
      </w:tr>
    </w:tbl>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br w:type="textWrapping"/>
      </w:r>
    </w:p>
    <w:p>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五、存在的主要问题及改进情况</w:t>
      </w:r>
    </w:p>
    <w:p>
      <w:pPr>
        <w:widowControl/>
        <w:shd w:val="clear" w:color="auto" w:fill="FFFFFF"/>
        <w:ind w:firstLine="480"/>
        <w:rPr>
          <w:rFonts w:hint="eastAsia" w:ascii="方正楷体_GBK" w:hAnsi="方正楷体_GBK" w:eastAsia="方正楷体_GBK" w:cs="方正楷体_GBK"/>
          <w:color w:val="000000"/>
          <w:kern w:val="0"/>
          <w:sz w:val="32"/>
          <w:szCs w:val="32"/>
          <w:lang w:eastAsia="zh-CN"/>
        </w:rPr>
      </w:pPr>
      <w:r>
        <w:rPr>
          <w:rFonts w:hint="eastAsia" w:ascii="方正楷体_GBK" w:hAnsi="方正楷体_GBK" w:eastAsia="方正楷体_GBK" w:cs="方正楷体_GBK"/>
          <w:color w:val="000000"/>
          <w:kern w:val="0"/>
          <w:sz w:val="32"/>
          <w:szCs w:val="32"/>
          <w:lang w:eastAsia="zh-CN"/>
        </w:rPr>
        <w:t>（一）主要问题</w:t>
      </w:r>
    </w:p>
    <w:p>
      <w:pPr>
        <w:widowControl/>
        <w:shd w:val="clear" w:color="auto" w:fill="FFFFFF"/>
        <w:ind w:firstLine="48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一是信息发布和更新效率有待提高；二是主动公开政府信息的</w:t>
      </w:r>
      <w:r>
        <w:rPr>
          <w:rFonts w:hint="eastAsia" w:ascii="仿宋_GB2312" w:hAnsi="仿宋_GB2312" w:eastAsia="仿宋_GB2312" w:cs="仿宋_GB2312"/>
          <w:color w:val="000000"/>
          <w:kern w:val="0"/>
          <w:sz w:val="32"/>
          <w:szCs w:val="32"/>
          <w:lang w:val="en-US" w:eastAsia="zh-CN"/>
        </w:rPr>
        <w:t>数量还需要增加，公开的内容还需要进一步细化；三对政务公开政策理解不深，业务操作不够熟练，主动公开意识有待增强。</w:t>
      </w:r>
    </w:p>
    <w:p>
      <w:pPr>
        <w:widowControl/>
        <w:numPr>
          <w:ilvl w:val="0"/>
          <w:numId w:val="2"/>
        </w:numPr>
        <w:shd w:val="clear" w:color="auto" w:fill="FFFFFF"/>
        <w:ind w:firstLine="480"/>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改进措施</w:t>
      </w:r>
    </w:p>
    <w:p>
      <w:pPr>
        <w:widowControl/>
        <w:shd w:val="clear" w:color="auto" w:fill="FFFFFF"/>
        <w:ind w:firstLine="48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是将政务公开纳入干部培训计划，开展专题培训3次以上，覆盖所有工作人员。建立业务骨干帮带机制，定期开展案例分析和经验交流，提升工作专业化水平。二是聚焦群众关切，进一步梳理重点领域公开清单，加大政策解读力度，采用图文、视频等多种形式提升解读效果。</w:t>
      </w:r>
    </w:p>
    <w:p>
      <w:pPr>
        <w:widowControl/>
        <w:shd w:val="clear" w:color="auto" w:fill="FFFFFF"/>
        <w:ind w:firstLine="48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六、其他需要报告的事项</w:t>
      </w:r>
    </w:p>
    <w:p>
      <w:pPr>
        <w:widowControl/>
        <w:shd w:val="clear" w:color="auto" w:fill="FFFFFF"/>
        <w:ind w:firstLine="480"/>
        <w:rPr>
          <w:rFonts w:hint="default" w:ascii="仿宋_GB2312" w:hAnsi="仿宋_GB2312" w:eastAsia="仿宋_GB2312" w:cs="仿宋_GB2312"/>
          <w:color w:val="000000"/>
          <w:kern w:val="0"/>
          <w:sz w:val="32"/>
          <w:szCs w:val="32"/>
          <w:lang w:val="en" w:eastAsia="zh-CN"/>
        </w:rPr>
      </w:pPr>
      <w:r>
        <w:rPr>
          <w:rFonts w:hint="default" w:ascii="仿宋_GB2312" w:hAnsi="仿宋_GB2312" w:eastAsia="仿宋_GB2312" w:cs="仿宋_GB2312"/>
          <w:color w:val="000000"/>
          <w:kern w:val="0"/>
          <w:sz w:val="32"/>
          <w:szCs w:val="32"/>
          <w:lang w:val="en"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Color Emoji">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F6E7B"/>
    <w:multiLevelType w:val="singleLevel"/>
    <w:tmpl w:val="BFBF6E7B"/>
    <w:lvl w:ilvl="0" w:tentative="0">
      <w:start w:val="2"/>
      <w:numFmt w:val="chineseCounting"/>
      <w:suff w:val="nothing"/>
      <w:lvlText w:val="（%1）"/>
      <w:lvlJc w:val="left"/>
      <w:rPr>
        <w:rFonts w:hint="eastAsia"/>
      </w:rPr>
    </w:lvl>
  </w:abstractNum>
  <w:abstractNum w:abstractNumId="1">
    <w:nsid w:val="FFF2D22B"/>
    <w:multiLevelType w:val="singleLevel"/>
    <w:tmpl w:val="FFF2D22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BFD2F"/>
    <w:rsid w:val="33EEBF14"/>
    <w:rsid w:val="3FDA6617"/>
    <w:rsid w:val="5FBD487A"/>
    <w:rsid w:val="6BFF176D"/>
    <w:rsid w:val="77DFA6D8"/>
    <w:rsid w:val="7FBBFD2F"/>
    <w:rsid w:val="7FFCCF8F"/>
    <w:rsid w:val="FD678FC3"/>
    <w:rsid w:val="FFF718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301</TotalTime>
  <ScaleCrop>false</ScaleCrop>
  <LinksUpToDate>false</LinksUpToDate>
  <CharactersWithSpaces>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2025-01-16T14:03:00Z</dcterms:created>
  <dc:creator>greatwall</dc:creator>
  <cp:lastModifiedBy>greatwall</cp:lastModifiedBy>
  <cp:lastPrinted>2026-01-15T22:00:00Z</cp:lastPrinted>
  <dcterms:modified xsi:type="dcterms:W3CDTF">2026-01-26T14:19:33Z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8FCDE90F822B9FB065165F69B669123D</vt:lpwstr>
  </property>
</Properties>
</file>