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sz w:val="32"/>
          <w:szCs w:val="32"/>
          <w:lang w:val="en" w:eastAsia="zh-CN"/>
        </w:rPr>
      </w:pPr>
      <w:r>
        <w:rPr>
          <w:rFonts w:ascii="Times New Roman" w:hAnsi="Times New Roman" w:eastAsia="黑体"/>
          <w:color w:val="000000"/>
          <w:kern w:val="0"/>
          <w:sz w:val="32"/>
          <w:szCs w:val="32"/>
          <w:lang w:bidi="ar"/>
        </w:rPr>
        <w:t>附件</w:t>
      </w:r>
      <w:r>
        <w:rPr>
          <w:rFonts w:hint="eastAsia" w:ascii="Times New Roman" w:hAnsi="Times New Roman" w:eastAsia="黑体"/>
          <w:color w:val="000000"/>
          <w:kern w:val="0"/>
          <w:sz w:val="32"/>
          <w:szCs w:val="32"/>
          <w:lang w:eastAsia="zh-CN" w:bidi="ar"/>
        </w:rPr>
        <w:t>三</w:t>
      </w:r>
    </w:p>
    <w:tbl>
      <w:tblPr>
        <w:tblStyle w:val="4"/>
        <w:tblW w:w="5000" w:type="pct"/>
        <w:tblInd w:w="0" w:type="dxa"/>
        <w:tblLayout w:type="autofit"/>
        <w:tblCellMar>
          <w:top w:w="0" w:type="dxa"/>
          <w:left w:w="108" w:type="dxa"/>
          <w:bottom w:w="0" w:type="dxa"/>
          <w:right w:w="108" w:type="dxa"/>
        </w:tblCellMar>
      </w:tblPr>
      <w:tblGrid>
        <w:gridCol w:w="12971"/>
      </w:tblGrid>
      <w:tr>
        <w:tblPrEx>
          <w:tblCellMar>
            <w:top w:w="0" w:type="dxa"/>
            <w:left w:w="108" w:type="dxa"/>
            <w:bottom w:w="0" w:type="dxa"/>
            <w:right w:w="108" w:type="dxa"/>
          </w:tblCellMar>
        </w:tblPrEx>
        <w:trPr>
          <w:trHeight w:val="797" w:hRule="atLeast"/>
        </w:trPr>
        <w:tc>
          <w:tcPr>
            <w:tcW w:w="5000" w:type="pct"/>
            <w:noWrap w:val="0"/>
            <w:vAlign w:val="center"/>
          </w:tcPr>
          <w:p>
            <w:pPr>
              <w:widowControl/>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spacing w:val="-6"/>
                <w:kern w:val="0"/>
                <w:sz w:val="44"/>
                <w:szCs w:val="44"/>
              </w:rPr>
              <w:t>天津市行政许可中介要件</w:t>
            </w:r>
            <w:r>
              <w:rPr>
                <w:rFonts w:hint="eastAsia" w:ascii="方正小标宋简体" w:hAnsi="Times New Roman" w:eastAsia="方正小标宋简体"/>
                <w:color w:val="000000"/>
                <w:spacing w:val="-6"/>
                <w:kern w:val="0"/>
                <w:sz w:val="44"/>
                <w:szCs w:val="44"/>
                <w:lang w:eastAsia="zh-CN"/>
              </w:rPr>
              <w:t>收费项目</w:t>
            </w:r>
            <w:r>
              <w:rPr>
                <w:rFonts w:hint="eastAsia" w:ascii="方正小标宋简体" w:hAnsi="Times New Roman" w:eastAsia="方正小标宋简体"/>
                <w:color w:val="000000"/>
                <w:spacing w:val="-6"/>
                <w:kern w:val="0"/>
                <w:sz w:val="44"/>
                <w:szCs w:val="44"/>
              </w:rPr>
              <w:t>目录</w:t>
            </w:r>
            <w:r>
              <w:rPr>
                <w:rFonts w:hint="eastAsia" w:ascii="方正小标宋简体" w:hAnsi="Times New Roman" w:eastAsia="方正小标宋简体"/>
                <w:color w:val="000000"/>
                <w:spacing w:val="-6"/>
                <w:kern w:val="0"/>
                <w:sz w:val="44"/>
                <w:szCs w:val="44"/>
                <w:lang w:eastAsia="zh-CN"/>
              </w:rPr>
              <w:t>清单</w:t>
            </w:r>
            <w:r>
              <w:rPr>
                <w:rFonts w:hint="eastAsia" w:ascii="方正小标宋简体" w:hAnsi="Times New Roman" w:eastAsia="方正小标宋简体"/>
                <w:color w:val="000000"/>
                <w:spacing w:val="-6"/>
                <w:kern w:val="0"/>
                <w:sz w:val="44"/>
                <w:szCs w:val="44"/>
              </w:rPr>
              <w:t>（</w:t>
            </w:r>
            <w:r>
              <w:rPr>
                <w:rFonts w:hint="eastAsia" w:ascii="Times New Roman" w:hAnsi="Times New Roman" w:eastAsia="仿宋_GB2312"/>
                <w:spacing w:val="-6"/>
                <w:sz w:val="44"/>
                <w:szCs w:val="44"/>
              </w:rPr>
              <w:t>202</w:t>
            </w:r>
            <w:r>
              <w:rPr>
                <w:rFonts w:ascii="Times New Roman" w:hAnsi="Times New Roman" w:eastAsia="仿宋_GB2312"/>
                <w:spacing w:val="-6"/>
                <w:sz w:val="44"/>
                <w:szCs w:val="44"/>
              </w:rPr>
              <w:t>3</w:t>
            </w:r>
            <w:r>
              <w:rPr>
                <w:rFonts w:hint="eastAsia" w:ascii="方正小标宋简体" w:hAnsi="Times New Roman" w:eastAsia="方正小标宋简体"/>
                <w:color w:val="000000"/>
                <w:spacing w:val="-6"/>
                <w:kern w:val="0"/>
                <w:sz w:val="44"/>
                <w:szCs w:val="44"/>
              </w:rPr>
              <w:t>年版）</w:t>
            </w:r>
          </w:p>
        </w:tc>
      </w:tr>
    </w:tbl>
    <w:p>
      <w:pPr>
        <w:spacing w:line="140" w:lineRule="exact"/>
        <w:rPr>
          <w:rFonts w:ascii="Times New Roman" w:hAnsi="Times New Roman"/>
          <w:szCs w:val="24"/>
        </w:rPr>
      </w:pPr>
    </w:p>
    <w:tbl>
      <w:tblPr>
        <w:tblStyle w:val="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43"/>
        <w:gridCol w:w="1476"/>
        <w:gridCol w:w="2529"/>
        <w:gridCol w:w="2697"/>
        <w:gridCol w:w="1869"/>
        <w:gridCol w:w="127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19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序号</w:t>
            </w:r>
          </w:p>
        </w:tc>
        <w:tc>
          <w:tcPr>
            <w:tcW w:w="55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市级审批部门</w:t>
            </w:r>
          </w:p>
        </w:tc>
        <w:tc>
          <w:tcPr>
            <w:tcW w:w="570" w:type="pct"/>
            <w:noWrap w:val="0"/>
            <w:vAlign w:val="center"/>
          </w:tcPr>
          <w:p>
            <w:pPr>
              <w:widowControl/>
              <w:spacing w:line="32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区级审批部门</w:t>
            </w:r>
          </w:p>
        </w:tc>
        <w:tc>
          <w:tcPr>
            <w:tcW w:w="97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行政许可事项名称</w:t>
            </w:r>
          </w:p>
        </w:tc>
        <w:tc>
          <w:tcPr>
            <w:tcW w:w="1042"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中介要件名称</w:t>
            </w:r>
          </w:p>
        </w:tc>
        <w:tc>
          <w:tcPr>
            <w:tcW w:w="721"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收费项目</w:t>
            </w:r>
          </w:p>
        </w:tc>
        <w:tc>
          <w:tcPr>
            <w:tcW w:w="493"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收费标准</w:t>
            </w:r>
          </w:p>
        </w:tc>
        <w:tc>
          <w:tcPr>
            <w:tcW w:w="440"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执收单位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9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w:t>
            </w:r>
            <w:r>
              <w:rPr>
                <w:rFonts w:hint="eastAsia" w:ascii="Times New Roman" w:hAnsi="Times New Roman" w:eastAsia="仿宋_GB2312"/>
                <w:color w:val="000000"/>
                <w:kern w:val="0"/>
                <w:sz w:val="20"/>
                <w:szCs w:val="20"/>
              </w:rPr>
              <w:t>规划和自然资源局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建设项目用地预审与选址意见书核</w:t>
            </w:r>
            <w:bookmarkStart w:id="0" w:name="_GoBack"/>
            <w:bookmarkEnd w:id="0"/>
            <w:r>
              <w:rPr>
                <w:rFonts w:hint="eastAsia" w:ascii="Times New Roman" w:hAnsi="Times New Roman" w:eastAsia="仿宋_GB2312"/>
                <w:color w:val="000000"/>
                <w:kern w:val="0"/>
                <w:sz w:val="20"/>
                <w:szCs w:val="20"/>
              </w:rPr>
              <w:t>发</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现势地形图（以出让方式供地项目应包括核定用地图）和电子文件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现势地形、核定用地测量收费</w:t>
            </w:r>
          </w:p>
        </w:tc>
        <w:tc>
          <w:tcPr>
            <w:tcW w:w="493" w:type="pct"/>
            <w:shd w:val="clear" w:color="auto" w:fill="FFFFFF"/>
            <w:noWrap w:val="0"/>
            <w:vAlign w:val="center"/>
          </w:tcPr>
          <w:p>
            <w:pPr>
              <w:widowControl/>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现势地形（管网）图和电子文件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现势地形测量收费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规划方案（线性占地类、管线综合类以及长度大于2000米以上的非占地类项目需提供）</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市政工程规划方案设计收费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具有规划资质机构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557" w:type="pct"/>
            <w:shd w:val="clear" w:color="auto" w:fill="FFFFFF"/>
            <w:noWrap w:val="0"/>
            <w:vAlign w:val="center"/>
          </w:tcPr>
          <w:p>
            <w:pPr>
              <w:widowControl/>
              <w:jc w:val="center"/>
              <w:rPr>
                <w:rFonts w:hint="default" w:ascii="Times New Roman" w:hAnsi="Times New Roman" w:eastAsia="仿宋_GB2312"/>
                <w:color w:val="000000"/>
                <w:kern w:val="0"/>
                <w:sz w:val="20"/>
                <w:szCs w:val="20"/>
                <w:lang w:val="en"/>
              </w:rPr>
            </w:pPr>
            <w:r>
              <w:rPr>
                <w:rFonts w:ascii="Times New Roman" w:hAnsi="Times New Roman" w:eastAsia="仿宋_GB2312"/>
                <w:color w:val="000000"/>
                <w:kern w:val="0"/>
                <w:sz w:val="20"/>
                <w:szCs w:val="20"/>
              </w:rPr>
              <w:t>市</w:t>
            </w:r>
            <w:r>
              <w:rPr>
                <w:rFonts w:ascii="Times New Roman" w:hAnsi="Times New Roman" w:eastAsia="仿宋_GB2312"/>
                <w:color w:val="000000"/>
                <w:kern w:val="0"/>
                <w:sz w:val="20"/>
                <w:szCs w:val="20"/>
                <w:lang w:val="en"/>
              </w:rPr>
              <w:t>规划和自然资源局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建设工程规划验收合格证</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建设工程规划验收测量技术报告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highlight w:val="none"/>
              </w:rPr>
              <w:t>建设工程规划验收测量</w:t>
            </w:r>
            <w:r>
              <w:rPr>
                <w:rFonts w:hint="eastAsia" w:ascii="Times New Roman" w:hAnsi="Times New Roman" w:eastAsia="仿宋_GB2312"/>
                <w:color w:val="000000"/>
                <w:kern w:val="0"/>
                <w:sz w:val="20"/>
                <w:szCs w:val="20"/>
                <w:highlight w:val="none"/>
                <w:lang w:eastAsia="zh-CN"/>
              </w:rPr>
              <w:t>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557" w:type="pct"/>
            <w:vMerge w:val="restart"/>
            <w:shd w:val="clear" w:color="auto" w:fill="FFFFFF"/>
            <w:noWrap w:val="0"/>
            <w:vAlign w:val="center"/>
          </w:tcPr>
          <w:p>
            <w:pPr>
              <w:widowControl/>
              <w:jc w:val="center"/>
              <w:rPr>
                <w:rFonts w:hint="default" w:ascii="Times New Roman" w:hAnsi="Times New Roman" w:eastAsia="仿宋_GB2312"/>
                <w:color w:val="000000"/>
                <w:kern w:val="0"/>
                <w:sz w:val="20"/>
                <w:szCs w:val="20"/>
                <w:lang w:val="en"/>
              </w:rPr>
            </w:pPr>
            <w:r>
              <w:rPr>
                <w:rFonts w:ascii="Times New Roman" w:hAnsi="Times New Roman" w:eastAsia="仿宋_GB2312"/>
                <w:color w:val="000000"/>
                <w:kern w:val="0"/>
                <w:sz w:val="20"/>
                <w:szCs w:val="20"/>
              </w:rPr>
              <w:t>市</w:t>
            </w:r>
            <w:r>
              <w:rPr>
                <w:rFonts w:ascii="Times New Roman" w:hAnsi="Times New Roman" w:eastAsia="仿宋_GB2312"/>
                <w:color w:val="000000"/>
                <w:kern w:val="0"/>
                <w:sz w:val="20"/>
                <w:szCs w:val="20"/>
                <w:lang w:val="en"/>
              </w:rPr>
              <w:t>规划和自然资源局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建设工程、临时建设工程规划许可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建设工程设计方案设计收费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建设工程规划放线测量技术报告3份（含电子文件）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建设工程规划放线测量收费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乡村建设规划许可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房屋设计方案3份（含电子文件，平房村民住宅建设项目无需提供）</w:t>
            </w:r>
          </w:p>
        </w:tc>
        <w:tc>
          <w:tcPr>
            <w:tcW w:w="721" w:type="pct"/>
            <w:shd w:val="clear" w:color="auto" w:fill="FFFFFF"/>
            <w:noWrap w:val="0"/>
            <w:vAlign w:val="center"/>
          </w:tcPr>
          <w:p>
            <w:pPr>
              <w:widowControl/>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eastAsia="zh-CN"/>
              </w:rPr>
              <w:t>房屋设计方案</w:t>
            </w:r>
          </w:p>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建设项目用地范围地形图</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地形</w:t>
            </w:r>
            <w:r>
              <w:rPr>
                <w:rFonts w:hint="eastAsia" w:ascii="仿宋_GB2312" w:hAnsi="宋体" w:eastAsia="仿宋_GB2312" w:cs="仿宋_GB2312"/>
                <w:kern w:val="0"/>
                <w:sz w:val="20"/>
                <w:szCs w:val="20"/>
                <w:lang w:eastAsia="zh-CN"/>
              </w:rPr>
              <w:t>图</w:t>
            </w:r>
            <w:r>
              <w:rPr>
                <w:rFonts w:hint="eastAsia" w:ascii="仿宋_GB2312" w:hAnsi="宋体" w:eastAsia="仿宋_GB2312" w:cs="仿宋_GB2312"/>
                <w:kern w:val="0"/>
                <w:sz w:val="20"/>
                <w:szCs w:val="20"/>
              </w:rPr>
              <w:t>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建设工程设计方案设计收费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557" w:type="pct"/>
            <w:shd w:val="clear" w:color="auto" w:fill="FFFFFF"/>
            <w:noWrap w:val="0"/>
            <w:vAlign w:val="center"/>
          </w:tcPr>
          <w:p>
            <w:pPr>
              <w:widowControl/>
              <w:jc w:val="center"/>
              <w:rPr>
                <w:rFonts w:hint="default" w:ascii="Times New Roman" w:hAnsi="Times New Roman" w:eastAsia="仿宋_GB2312"/>
                <w:color w:val="000000"/>
                <w:kern w:val="0"/>
                <w:sz w:val="20"/>
                <w:szCs w:val="20"/>
                <w:lang w:val="en"/>
              </w:rPr>
            </w:pPr>
            <w:r>
              <w:rPr>
                <w:rFonts w:ascii="Times New Roman" w:hAnsi="Times New Roman" w:eastAsia="仿宋_GB2312"/>
                <w:color w:val="000000"/>
                <w:kern w:val="0"/>
                <w:sz w:val="20"/>
                <w:szCs w:val="20"/>
              </w:rPr>
              <w:t>市</w:t>
            </w:r>
            <w:r>
              <w:rPr>
                <w:rFonts w:ascii="Times New Roman" w:hAnsi="Times New Roman" w:eastAsia="仿宋_GB2312"/>
                <w:color w:val="000000"/>
                <w:kern w:val="0"/>
                <w:sz w:val="20"/>
                <w:szCs w:val="20"/>
                <w:lang w:val="en"/>
              </w:rPr>
              <w:t>规划和自然资源局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建设用地、临时建设用地规划许可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核定用地图2份（含SHP和DWG格式数据）、划拨宗地平面界限图5份（含2000坐标的SHP格式数据）</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核定用地测量收费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市交通运输委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涉路施工许可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保障公路、公路附属设施质量和安全的技术评价报告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技术评价服务收费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工程咨询机构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委托滨海新区金融局实施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设立典当行及分支机构审批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具有法定资格的会计师事务所出具的法人股东财务审计报告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具有法定资格的验资机构出具的验资证明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具有法定资格的会计师事务所出具的法人股东出资能力证明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具有法定资格的会计师事务所出具的该典当行最近两年的财务会计报告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营运资金拨付证明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570" w:type="pct"/>
            <w:vMerge w:val="restart"/>
            <w:shd w:val="clear" w:color="auto" w:fill="FFFFFF"/>
            <w:noWrap w:val="0"/>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委托滨海新区金融局实施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融资担保公司设立、合并、分立、减少注册资本及跨省设立分支机构审批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具有相应资质的会计师事务所出具的近3年财务审计报告</w:t>
            </w:r>
            <w:r>
              <w:rPr>
                <w:rFonts w:hint="eastAsia" w:ascii="Times New Roman" w:hAnsi="Times New Roman" w:eastAsia="仿宋_GB2312"/>
                <w:color w:val="000000"/>
                <w:kern w:val="0"/>
                <w:sz w:val="20"/>
                <w:szCs w:val="20"/>
              </w:rPr>
              <w:t>）</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专业信用评级机构出具的出资能力评估报告</w:t>
            </w:r>
            <w:r>
              <w:rPr>
                <w:rFonts w:hint="eastAsia" w:ascii="Times New Roman" w:hAnsi="Times New Roman" w:eastAsia="仿宋_GB2312"/>
                <w:color w:val="000000"/>
                <w:kern w:val="0"/>
                <w:sz w:val="20"/>
                <w:szCs w:val="20"/>
              </w:rPr>
              <w:t>）</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评级费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专业信用评级机构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具有资质的会计师事务所出具的验资报告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具有相应资质的会计师事务所出具的近3年财务审计报告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r>
              <w:rPr>
                <w:rFonts w:hint="eastAsia" w:eastAsia="仿宋_GB2312"/>
                <w:color w:val="000000"/>
                <w:kern w:val="0"/>
                <w:sz w:val="20"/>
                <w:szCs w:val="20"/>
                <w:lang w:bidi="ar"/>
              </w:rPr>
              <w:t>（各区有关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受理</w:t>
            </w:r>
            <w:r>
              <w:rPr>
                <w:rFonts w:hint="eastAsia" w:eastAsia="仿宋_GB2312"/>
                <w:color w:val="000000"/>
                <w:kern w:val="0"/>
                <w:sz w:val="20"/>
                <w:szCs w:val="20"/>
                <w:lang w:bidi="ar"/>
              </w:rPr>
              <w:t>）</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从事拍卖业务许可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最近两年经会计师事务所审计的年度财务会计报表</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对外劳务合作经营资格核准</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企业验资报告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市水务局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水利基建项目初步设计文件审批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初步设计报告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勘察设计费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市市场监管委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企业登记注册</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募集设立的股份有限公司提交依法设立的验资机构出具的验资证明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3</w:t>
            </w:r>
          </w:p>
        </w:tc>
        <w:tc>
          <w:tcPr>
            <w:tcW w:w="557" w:type="pct"/>
            <w:vMerge w:val="restar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医疗机构建设项目放射性职业病防护设施竣工验收</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职业病危害预评价报告书（表）</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放射诊疗建设项目职业病危害控制效果放射防护评价报告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4</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饮用水</w:t>
            </w:r>
            <w:r>
              <w:rPr>
                <w:rFonts w:ascii="Times New Roman" w:hAnsi="Times New Roman" w:eastAsia="仿宋_GB2312"/>
                <w:kern w:val="0"/>
                <w:sz w:val="20"/>
                <w:szCs w:val="20"/>
              </w:rPr>
              <w:t>供水单位卫生许可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水源水和出厂水的水质检测报告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5</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涉及饮用水卫生安全的产品卫生许可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产品检验报告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6</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公共场所卫生许可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卫生检测报告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公共场所卫生检测机构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7</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消毒产品生产单位审批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生产环境和生产用水检测报告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消毒产品生产环境和生产用水检测报告编制机构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8</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eastAsia="仿宋_GB2312"/>
                <w:color w:val="000000"/>
                <w:kern w:val="0"/>
                <w:sz w:val="20"/>
                <w:szCs w:val="20"/>
                <w:lang w:bidi="ar"/>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r>
              <w:rPr>
                <w:rFonts w:hint="eastAsia" w:eastAsia="仿宋_GB2312"/>
                <w:color w:val="000000"/>
                <w:kern w:val="0"/>
                <w:sz w:val="20"/>
                <w:szCs w:val="20"/>
                <w:lang w:bidi="ar"/>
              </w:rPr>
              <w:t>）</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高等学校和其他高等教育机构筹设审批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委托滨海新区有关行政审批主管部门实施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w:t>
            </w:r>
            <w:r>
              <w:rPr>
                <w:rFonts w:ascii="Times New Roman" w:hAnsi="Times New Roman" w:eastAsia="仿宋_GB2312"/>
                <w:color w:val="000000"/>
                <w:kern w:val="0"/>
                <w:sz w:val="20"/>
                <w:szCs w:val="20"/>
              </w:rPr>
              <w:t>设置</w:t>
            </w:r>
            <w:r>
              <w:rPr>
                <w:rFonts w:hint="eastAsia" w:ascii="Times New Roman" w:hAnsi="Times New Roman" w:eastAsia="仿宋_GB2312"/>
                <w:color w:val="000000"/>
                <w:kern w:val="0"/>
                <w:sz w:val="20"/>
                <w:szCs w:val="20"/>
              </w:rPr>
              <w:t>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开办外籍人员子女学校审批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拟建学校经费的验资证明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变更举办者、终止，需提供财务清算报告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中等及以下学校和其他教育机构设置审批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设立，需提供学校资产的有效证明文件（验资证明和资产评估证明）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民办、中外合作开办中等及以下学校和其他教育机构筹设审批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港口经营许可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新建、改建、扩建储存、装卸危险货物港口设施的，提交安全设施验收合格证明材料；使用现有港口设施的，提交对现状的安全评价报告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color w:val="000000"/>
                <w:kern w:val="0"/>
                <w:sz w:val="20"/>
                <w:szCs w:val="20"/>
                <w:lang w:bidi="ar"/>
              </w:rPr>
              <w:t>危险货物港口建设项目安全条件审查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危险货物港口建设项目安全预评价报告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w:t>
            </w:r>
            <w:r>
              <w:rPr>
                <w:rFonts w:ascii="Times New Roman" w:hAnsi="Times New Roman" w:eastAsia="仿宋_GB2312"/>
                <w:kern w:val="0"/>
                <w:sz w:val="20"/>
                <w:szCs w:val="20"/>
              </w:rPr>
              <w:t>条件</w:t>
            </w:r>
            <w:r>
              <w:rPr>
                <w:rFonts w:hint="eastAsia" w:ascii="Times New Roman" w:hAnsi="Times New Roman" w:eastAsia="仿宋_GB2312"/>
                <w:kern w:val="0"/>
                <w:sz w:val="20"/>
                <w:szCs w:val="20"/>
              </w:rPr>
              <w:t>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6</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7</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金属冶炼建设项目安全设施设计审查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8</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矿山建设项目安全设施设计审查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非煤矿矿山建设项目安全设施设计专篇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危险化学品生产企业安全生产许可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矿山企业安全生产许可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危险化学品安全使用许可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危险化学品经营许可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不涉及</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eastAsia="仿宋_GB2312"/>
                <w:color w:val="000000"/>
                <w:kern w:val="0"/>
                <w:szCs w:val="21"/>
                <w:lang w:bidi="ar"/>
              </w:rPr>
              <w:t>烟花爆竹经营许可（批发）（已转禁止制）</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库区外部安全距离实测图和库区仓储设施平面布置图</w:t>
            </w:r>
          </w:p>
        </w:tc>
        <w:tc>
          <w:tcPr>
            <w:tcW w:w="721" w:type="pct"/>
            <w:shd w:val="clear" w:color="auto" w:fill="FFFFFF"/>
            <w:noWrap w:val="0"/>
            <w:vAlign w:val="center"/>
          </w:tcPr>
          <w:p>
            <w:pPr>
              <w:widowControl/>
              <w:jc w:val="center"/>
              <w:rPr>
                <w:rFonts w:hint="eastAsia" w:ascii="Times New Roman" w:hAnsi="Times New Roman" w:eastAsia="仿宋_GB2312"/>
                <w:kern w:val="0"/>
                <w:sz w:val="20"/>
                <w:szCs w:val="20"/>
                <w:lang w:eastAsia="zh-CN"/>
              </w:rPr>
            </w:pPr>
            <w:r>
              <w:rPr>
                <w:rFonts w:hint="eastAsia" w:ascii="Times New Roman" w:hAnsi="Times New Roman" w:eastAsia="仿宋_GB2312"/>
                <w:kern w:val="0"/>
                <w:sz w:val="20"/>
                <w:szCs w:val="20"/>
                <w:lang w:eastAsia="zh-CN"/>
              </w:rPr>
              <w:t>测量及制图收费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eastAsia="仿宋_GB2312"/>
                <w:color w:val="000000"/>
                <w:kern w:val="0"/>
                <w:sz w:val="20"/>
                <w:szCs w:val="20"/>
                <w:lang w:bidi="ar"/>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bl>
    <w:p>
      <w:pPr>
        <w:widowControl/>
        <w:jc w:val="left"/>
        <w:rPr>
          <w:rFonts w:ascii="Times New Roman" w:hAnsi="Times New Roman" w:eastAsia="仿宋_GB2312"/>
          <w:sz w:val="32"/>
          <w:szCs w:val="32"/>
        </w:rPr>
        <w:sectPr>
          <w:footerReference r:id="rId3" w:type="default"/>
          <w:pgSz w:w="16838" w:h="11906" w:orient="landscape"/>
          <w:pgMar w:top="1474" w:right="1985" w:bottom="1588" w:left="2098"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970F"/>
    <w:rsid w:val="0DB661D0"/>
    <w:rsid w:val="0FBFF566"/>
    <w:rsid w:val="175A7E03"/>
    <w:rsid w:val="1AF791CA"/>
    <w:rsid w:val="2CFDF45A"/>
    <w:rsid w:val="2FBF9AF7"/>
    <w:rsid w:val="2FD6ABD1"/>
    <w:rsid w:val="2FDE26E0"/>
    <w:rsid w:val="2FF71359"/>
    <w:rsid w:val="2FFFDC8C"/>
    <w:rsid w:val="34E7BAA4"/>
    <w:rsid w:val="3763A926"/>
    <w:rsid w:val="377A8F56"/>
    <w:rsid w:val="37F1F25F"/>
    <w:rsid w:val="3B17B1F2"/>
    <w:rsid w:val="3ED26509"/>
    <w:rsid w:val="3EF98E3F"/>
    <w:rsid w:val="3EFB2FC0"/>
    <w:rsid w:val="3F49970E"/>
    <w:rsid w:val="3F5C350F"/>
    <w:rsid w:val="3F7A51C2"/>
    <w:rsid w:val="3FBF41C5"/>
    <w:rsid w:val="3FDC59AD"/>
    <w:rsid w:val="3FDF008C"/>
    <w:rsid w:val="3FFBB623"/>
    <w:rsid w:val="47B5721C"/>
    <w:rsid w:val="4BBF6125"/>
    <w:rsid w:val="4FBCCFF2"/>
    <w:rsid w:val="5153C018"/>
    <w:rsid w:val="55DD3E52"/>
    <w:rsid w:val="56DD6798"/>
    <w:rsid w:val="57EC52AF"/>
    <w:rsid w:val="57FB8063"/>
    <w:rsid w:val="59FF9DA6"/>
    <w:rsid w:val="5A9F0341"/>
    <w:rsid w:val="5ABF81C9"/>
    <w:rsid w:val="5AFF58CD"/>
    <w:rsid w:val="5BB73C00"/>
    <w:rsid w:val="5DFA8FD6"/>
    <w:rsid w:val="5DFEB87E"/>
    <w:rsid w:val="5EBC7952"/>
    <w:rsid w:val="5FBF293C"/>
    <w:rsid w:val="64338333"/>
    <w:rsid w:val="665FAE89"/>
    <w:rsid w:val="675EBD7E"/>
    <w:rsid w:val="67674BD3"/>
    <w:rsid w:val="69FD8CFF"/>
    <w:rsid w:val="6CF32E85"/>
    <w:rsid w:val="6CF4F4F8"/>
    <w:rsid w:val="6D67571F"/>
    <w:rsid w:val="6DB97BB3"/>
    <w:rsid w:val="6DDDBA7B"/>
    <w:rsid w:val="6E6720E7"/>
    <w:rsid w:val="6ED32DB5"/>
    <w:rsid w:val="6F7BAB32"/>
    <w:rsid w:val="6F7F0B12"/>
    <w:rsid w:val="6FFDC014"/>
    <w:rsid w:val="71FEDE1C"/>
    <w:rsid w:val="72EE7E29"/>
    <w:rsid w:val="73FE8F90"/>
    <w:rsid w:val="73FFC7D6"/>
    <w:rsid w:val="758C6510"/>
    <w:rsid w:val="75F66992"/>
    <w:rsid w:val="761E2727"/>
    <w:rsid w:val="766F5641"/>
    <w:rsid w:val="76775361"/>
    <w:rsid w:val="76BF34AE"/>
    <w:rsid w:val="76F76874"/>
    <w:rsid w:val="777FA9F7"/>
    <w:rsid w:val="77D3EF08"/>
    <w:rsid w:val="77E77FF9"/>
    <w:rsid w:val="787F421E"/>
    <w:rsid w:val="78CBF48C"/>
    <w:rsid w:val="793742FB"/>
    <w:rsid w:val="79DF6440"/>
    <w:rsid w:val="79F67822"/>
    <w:rsid w:val="7AAFFBB1"/>
    <w:rsid w:val="7BEC6464"/>
    <w:rsid w:val="7BFCE66A"/>
    <w:rsid w:val="7D7F5E38"/>
    <w:rsid w:val="7DDE8E0F"/>
    <w:rsid w:val="7DEF48F8"/>
    <w:rsid w:val="7DF6845D"/>
    <w:rsid w:val="7E790BF5"/>
    <w:rsid w:val="7EAF46AF"/>
    <w:rsid w:val="7EFD0F1A"/>
    <w:rsid w:val="7EFF6B94"/>
    <w:rsid w:val="7F1A9195"/>
    <w:rsid w:val="7F7F7B52"/>
    <w:rsid w:val="7FB606FC"/>
    <w:rsid w:val="7FBA3E9A"/>
    <w:rsid w:val="7FBFDCA6"/>
    <w:rsid w:val="7FC50C6F"/>
    <w:rsid w:val="7FCB75A7"/>
    <w:rsid w:val="7FDFCBE8"/>
    <w:rsid w:val="7FE8970F"/>
    <w:rsid w:val="7FED7D0D"/>
    <w:rsid w:val="7FEF0D08"/>
    <w:rsid w:val="7FF5BD95"/>
    <w:rsid w:val="7FF7E26A"/>
    <w:rsid w:val="7FFF2AA8"/>
    <w:rsid w:val="87BF7B43"/>
    <w:rsid w:val="8CDF5E2B"/>
    <w:rsid w:val="8CF7BAE0"/>
    <w:rsid w:val="8FD598AF"/>
    <w:rsid w:val="95BDC814"/>
    <w:rsid w:val="97B3ABAB"/>
    <w:rsid w:val="97FDA660"/>
    <w:rsid w:val="9B5A8BA4"/>
    <w:rsid w:val="9DB72B01"/>
    <w:rsid w:val="9F5E74D6"/>
    <w:rsid w:val="9FFF3855"/>
    <w:rsid w:val="A3AF323F"/>
    <w:rsid w:val="AABF1C69"/>
    <w:rsid w:val="ABF30550"/>
    <w:rsid w:val="AD7EDB1D"/>
    <w:rsid w:val="ADFB0BC8"/>
    <w:rsid w:val="AFDBF902"/>
    <w:rsid w:val="B4E90E60"/>
    <w:rsid w:val="BDBE7E4E"/>
    <w:rsid w:val="BE23C19E"/>
    <w:rsid w:val="BE6D7BD4"/>
    <w:rsid w:val="BEFE6EE1"/>
    <w:rsid w:val="BF3FC2B2"/>
    <w:rsid w:val="BF6382F6"/>
    <w:rsid w:val="BFAD9FF0"/>
    <w:rsid w:val="BFCF10F9"/>
    <w:rsid w:val="BFD7403A"/>
    <w:rsid w:val="BFF771BE"/>
    <w:rsid w:val="C5BC99D8"/>
    <w:rsid w:val="CBFFC159"/>
    <w:rsid w:val="CFF7C32D"/>
    <w:rsid w:val="D57FC2FB"/>
    <w:rsid w:val="D87BDB9C"/>
    <w:rsid w:val="DA73813F"/>
    <w:rsid w:val="DB9F8DD6"/>
    <w:rsid w:val="DDCFD03E"/>
    <w:rsid w:val="DDFAB692"/>
    <w:rsid w:val="DEF7DEF7"/>
    <w:rsid w:val="DEFEB7CD"/>
    <w:rsid w:val="DEFF19B9"/>
    <w:rsid w:val="DEFFCDDB"/>
    <w:rsid w:val="DF8ED19D"/>
    <w:rsid w:val="DFD78644"/>
    <w:rsid w:val="DFFEB014"/>
    <w:rsid w:val="E2F746E4"/>
    <w:rsid w:val="E7377987"/>
    <w:rsid w:val="E7FFAE90"/>
    <w:rsid w:val="E9BF09F0"/>
    <w:rsid w:val="EB4FDDF6"/>
    <w:rsid w:val="EBAF50B5"/>
    <w:rsid w:val="EBE73976"/>
    <w:rsid w:val="EE3F31B9"/>
    <w:rsid w:val="EE6750C8"/>
    <w:rsid w:val="EEFFB8AF"/>
    <w:rsid w:val="EF7F3D5A"/>
    <w:rsid w:val="EFF5B91E"/>
    <w:rsid w:val="EFFF5A4B"/>
    <w:rsid w:val="F0F6D036"/>
    <w:rsid w:val="F3DE6C28"/>
    <w:rsid w:val="F4B5BA3C"/>
    <w:rsid w:val="F5F7FDAD"/>
    <w:rsid w:val="F5FF3647"/>
    <w:rsid w:val="F6FF52CC"/>
    <w:rsid w:val="F759CEDF"/>
    <w:rsid w:val="F79D6C49"/>
    <w:rsid w:val="F7B5F7D8"/>
    <w:rsid w:val="F7DF5DCD"/>
    <w:rsid w:val="F7DFE2C7"/>
    <w:rsid w:val="F8B9E6EA"/>
    <w:rsid w:val="F8CEA721"/>
    <w:rsid w:val="FB089FFE"/>
    <w:rsid w:val="FB3F52B3"/>
    <w:rsid w:val="FB4B5F0C"/>
    <w:rsid w:val="FBEB9A74"/>
    <w:rsid w:val="FBEBD6DF"/>
    <w:rsid w:val="FBF9A15F"/>
    <w:rsid w:val="FBFA1250"/>
    <w:rsid w:val="FBFBE3B5"/>
    <w:rsid w:val="FDEF5311"/>
    <w:rsid w:val="FDFEC5F9"/>
    <w:rsid w:val="FEEDF6AB"/>
    <w:rsid w:val="FEFDDEEF"/>
    <w:rsid w:val="FEFF11E9"/>
    <w:rsid w:val="FF7F13A0"/>
    <w:rsid w:val="FF7F2309"/>
    <w:rsid w:val="FFBB16F2"/>
    <w:rsid w:val="FFBF32C0"/>
    <w:rsid w:val="FFBF4B62"/>
    <w:rsid w:val="FFEBC1E2"/>
    <w:rsid w:val="FFEF016C"/>
    <w:rsid w:val="FFF99231"/>
    <w:rsid w:val="FFFDF76F"/>
    <w:rsid w:val="FFFE3717"/>
    <w:rsid w:val="FFFE4260"/>
    <w:rsid w:val="FFFF51BD"/>
    <w:rsid w:val="FFFF8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3308</Words>
  <Characters>3349</Characters>
  <Lines>0</Lines>
  <Paragraphs>0</Paragraphs>
  <TotalTime>8</TotalTime>
  <ScaleCrop>false</ScaleCrop>
  <LinksUpToDate>false</LinksUpToDate>
  <CharactersWithSpaces>3353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2023-11-08T08:23:00Z</dcterms:created>
  <dc:creator>sugon</dc:creator>
  <cp:lastModifiedBy>kylin</cp:lastModifiedBy>
  <cp:lastPrinted>2024-03-20T07:55:00Z</cp:lastPrinted>
  <dcterms:modified xsi:type="dcterms:W3CDTF">2025-03-07T15:18:02Z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9C5016D2C4004031A484951913AA8CC1_13</vt:lpwstr>
  </property>
</Properties>
</file>