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宋体" w:eastAsia="方正小标宋简体" w:cs="方正小标宋_GBK"/>
          <w:kern w:val="0"/>
          <w:sz w:val="44"/>
          <w:szCs w:val="44"/>
          <w:shd w:val="clear" w:color="auto" w:fill="FFFFFF"/>
          <w:lang w:eastAsia="zh-CN" w:bidi="ar"/>
        </w:rPr>
      </w:pPr>
      <w:r>
        <w:rPr>
          <w:rFonts w:hint="eastAsia" w:ascii="方正小标宋简体" w:hAnsi="宋体" w:eastAsia="方正小标宋简体" w:cs="方正小标宋_GBK"/>
          <w:kern w:val="0"/>
          <w:sz w:val="44"/>
          <w:szCs w:val="44"/>
          <w:shd w:val="clear" w:color="auto" w:fill="FFFFFF"/>
          <w:lang w:bidi="ar"/>
        </w:rPr>
        <w:t>关于《宁河区国资委监管企业违规经营投资责任追究试行办法》</w:t>
      </w:r>
      <w:r>
        <w:rPr>
          <w:rFonts w:hint="eastAsia" w:ascii="方正小标宋简体" w:hAnsi="宋体" w:eastAsia="方正小标宋简体" w:cs="方正小标宋_GBK"/>
          <w:kern w:val="0"/>
          <w:sz w:val="44"/>
          <w:szCs w:val="44"/>
          <w:shd w:val="clear" w:color="auto" w:fill="FFFFFF"/>
          <w:lang w:eastAsia="zh-CN" w:bidi="ar"/>
        </w:rPr>
        <w:t>的政策解读</w:t>
      </w:r>
    </w:p>
    <w:p>
      <w:pPr>
        <w:widowControl/>
        <w:spacing w:line="560" w:lineRule="exact"/>
        <w:jc w:val="center"/>
        <w:rPr>
          <w:rFonts w:hint="eastAsia" w:ascii="宋体" w:hAnsi="宋体" w:eastAsia="方正小标宋简体" w:cs="方正小标宋简体"/>
          <w:kern w:val="0"/>
          <w:sz w:val="44"/>
          <w:szCs w:val="44"/>
          <w:shd w:val="clear" w:color="auto" w:fill="FFFFFF"/>
          <w:lang w:bidi="ar"/>
        </w:rPr>
      </w:pPr>
    </w:p>
    <w:p>
      <w:pPr>
        <w:widowControl/>
        <w:spacing w:line="560" w:lineRule="exact"/>
        <w:ind w:firstLine="650" w:firstLineChars="200"/>
        <w:jc w:val="left"/>
        <w:rPr>
          <w:rFonts w:hint="eastAsia" w:ascii="黑体" w:hAnsi="黑体" w:eastAsia="黑体" w:cs="方正黑体_GBK"/>
          <w:kern w:val="0"/>
          <w:sz w:val="32"/>
          <w:szCs w:val="32"/>
          <w:shd w:val="clear" w:color="auto" w:fill="FFFFFF"/>
          <w:lang w:eastAsia="zh-CN" w:bidi="ar"/>
        </w:rPr>
      </w:pPr>
      <w:r>
        <w:rPr>
          <w:rFonts w:hint="eastAsia" w:ascii="黑体" w:hAnsi="黑体" w:eastAsia="黑体" w:cs="方正黑体_GBK"/>
          <w:kern w:val="0"/>
          <w:sz w:val="32"/>
          <w:szCs w:val="32"/>
          <w:shd w:val="clear" w:color="auto" w:fill="FFFFFF"/>
          <w:lang w:bidi="ar"/>
        </w:rPr>
        <w:t>一、《宁河区国资委监管企业违规经营投资责任追究试行办法》</w:t>
      </w:r>
      <w:r>
        <w:rPr>
          <w:rFonts w:hint="eastAsia" w:ascii="黑体" w:hAnsi="黑体" w:eastAsia="黑体" w:cs="方正黑体_GBK"/>
          <w:kern w:val="0"/>
          <w:sz w:val="32"/>
          <w:szCs w:val="32"/>
          <w:shd w:val="clear" w:color="auto" w:fill="FFFFFF"/>
          <w:lang w:eastAsia="zh-CN" w:bidi="ar"/>
        </w:rPr>
        <w:t>制定背景</w:t>
      </w:r>
    </w:p>
    <w:p>
      <w:pPr>
        <w:keepNext w:val="0"/>
        <w:keepLines w:val="0"/>
        <w:pageBreakBefore w:val="0"/>
        <w:widowControl/>
        <w:kinsoku/>
        <w:wordWrap/>
        <w:overflowPunct/>
        <w:topLinePunct w:val="0"/>
        <w:autoSpaceDE/>
        <w:autoSpaceDN/>
        <w:bidi w:val="0"/>
        <w:adjustRightInd/>
        <w:snapToGrid/>
        <w:spacing w:line="560" w:lineRule="exact"/>
        <w:ind w:firstLine="650" w:firstLineChars="200"/>
        <w:jc w:val="left"/>
        <w:textAlignment w:val="auto"/>
        <w:rPr>
          <w:rFonts w:hint="default" w:ascii="仿宋_GB2312" w:hAnsi="宋体" w:eastAsia="仿宋_GB2312" w:cs="方正仿宋_GBK"/>
          <w:kern w:val="0"/>
          <w:sz w:val="32"/>
          <w:szCs w:val="32"/>
          <w:shd w:val="clear" w:color="auto" w:fill="FFFFFF"/>
          <w:lang w:val="en-US" w:eastAsia="zh-CN" w:bidi="ar"/>
        </w:rPr>
      </w:pPr>
      <w:r>
        <w:rPr>
          <w:rFonts w:hint="eastAsia" w:ascii="仿宋_GB2312" w:hAnsi="宋体" w:eastAsia="仿宋_GB2312" w:cs="方正仿宋_GBK"/>
          <w:kern w:val="0"/>
          <w:sz w:val="32"/>
          <w:szCs w:val="32"/>
          <w:shd w:val="clear" w:color="auto" w:fill="FFFFFF"/>
          <w:lang w:bidi="ar"/>
        </w:rPr>
        <w:t>2016年8月，国务院办公厅出台了《关于建立国有企业违规经营投资责任追究制度的意见》（国办发〔2016〕63号），规定了国有企业违规经营投资责任追究的范围、资产损失认定、责任认定、责任追究处理方式、责任追究工作的组织实施，明确要求各级履行出资人职责的机构和国有企业按照意见建立健全违规经营投资责任追究制度</w:t>
      </w:r>
      <w:r>
        <w:rPr>
          <w:rFonts w:hint="eastAsia" w:ascii="仿宋_GB2312" w:hAnsi="宋体" w:eastAsia="仿宋_GB2312" w:cs="方正仿宋_GBK"/>
          <w:kern w:val="0"/>
          <w:sz w:val="32"/>
          <w:szCs w:val="32"/>
          <w:shd w:val="clear" w:color="auto" w:fill="FFFFFF"/>
          <w:lang w:eastAsia="zh-CN" w:bidi="ar"/>
        </w:rPr>
        <w:t>；天津市国资委</w:t>
      </w:r>
      <w:r>
        <w:rPr>
          <w:rFonts w:hint="eastAsia" w:ascii="仿宋_GB2312" w:hAnsi="宋体" w:eastAsia="仿宋_GB2312" w:cs="方正仿宋_GBK"/>
          <w:kern w:val="0"/>
          <w:sz w:val="32"/>
          <w:szCs w:val="32"/>
          <w:shd w:val="clear" w:color="auto" w:fill="FFFFFF"/>
          <w:lang w:bidi="ar"/>
        </w:rPr>
        <w:t>于2017年11月出台了《天津市市属国有企业违规经营投资责任追究试行办法》，有效期5年。</w:t>
      </w:r>
      <w:r>
        <w:rPr>
          <w:rFonts w:hint="eastAsia" w:ascii="仿宋_GB2312" w:hAnsi="宋体" w:eastAsia="仿宋_GB2312" w:cs="方正仿宋_GBK"/>
          <w:kern w:val="0"/>
          <w:sz w:val="32"/>
          <w:szCs w:val="32"/>
          <w:shd w:val="clear" w:color="auto" w:fill="FFFFFF"/>
          <w:lang w:eastAsia="zh-CN" w:bidi="ar"/>
        </w:rPr>
        <w:t>根据以上文件，</w:t>
      </w:r>
      <w:r>
        <w:rPr>
          <w:rFonts w:hint="eastAsia" w:ascii="仿宋_GB2312" w:hAnsi="宋体" w:eastAsia="仿宋_GB2312" w:cs="方正仿宋_GBK"/>
          <w:kern w:val="0"/>
          <w:sz w:val="32"/>
          <w:szCs w:val="32"/>
          <w:shd w:val="clear" w:color="auto" w:fill="FFFFFF"/>
          <w:lang w:val="en-US" w:eastAsia="zh-CN" w:bidi="ar"/>
        </w:rPr>
        <w:t>2020年6月，宁河区国资委出台了《宁河区区属国有企业违规经营投资责任追究试行办法》，有效期5年。</w:t>
      </w:r>
    </w:p>
    <w:p>
      <w:pPr>
        <w:keepNext w:val="0"/>
        <w:keepLines w:val="0"/>
        <w:pageBreakBefore w:val="0"/>
        <w:widowControl/>
        <w:kinsoku/>
        <w:wordWrap/>
        <w:overflowPunct/>
        <w:topLinePunct w:val="0"/>
        <w:autoSpaceDE/>
        <w:autoSpaceDN/>
        <w:bidi w:val="0"/>
        <w:adjustRightInd/>
        <w:snapToGrid/>
        <w:spacing w:line="560" w:lineRule="exact"/>
        <w:ind w:firstLine="650" w:firstLineChars="200"/>
        <w:jc w:val="left"/>
        <w:textAlignment w:val="auto"/>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2018年7月，国务院国资委制定了《中央企业违规经营投资责任追究实施办法（试行）》（国务院国资委第37号令），我委贯彻落实37号令</w:t>
      </w:r>
      <w:r>
        <w:rPr>
          <w:rFonts w:hint="eastAsia" w:ascii="仿宋_GB2312" w:hAnsi="宋体" w:eastAsia="仿宋_GB2312" w:cs="方正仿宋_GBK"/>
          <w:kern w:val="0"/>
          <w:sz w:val="32"/>
          <w:szCs w:val="32"/>
          <w:shd w:val="clear" w:color="auto" w:fill="FFFFFF"/>
          <w:lang w:eastAsia="zh-CN" w:bidi="ar"/>
        </w:rPr>
        <w:t>和市级有关文件要求</w:t>
      </w:r>
      <w:r>
        <w:rPr>
          <w:rFonts w:hint="eastAsia" w:ascii="仿宋_GB2312" w:hAnsi="宋体" w:eastAsia="仿宋_GB2312" w:cs="方正仿宋_GBK"/>
          <w:kern w:val="0"/>
          <w:sz w:val="32"/>
          <w:szCs w:val="32"/>
          <w:shd w:val="clear" w:color="auto" w:fill="FFFFFF"/>
          <w:lang w:bidi="ar"/>
        </w:rPr>
        <w:t>，出台</w:t>
      </w:r>
      <w:r>
        <w:rPr>
          <w:rFonts w:hint="eastAsia" w:ascii="仿宋_GB2312" w:hAnsi="宋体" w:eastAsia="仿宋_GB2312" w:cs="方正仿宋_GBK"/>
          <w:kern w:val="0"/>
          <w:sz w:val="32"/>
          <w:szCs w:val="32"/>
          <w:shd w:val="clear" w:color="auto" w:fill="FFFFFF"/>
          <w:lang w:eastAsia="zh-CN" w:bidi="ar"/>
        </w:rPr>
        <w:t>或转发</w:t>
      </w:r>
      <w:r>
        <w:rPr>
          <w:rFonts w:hint="eastAsia" w:ascii="仿宋_GB2312" w:hAnsi="宋体" w:eastAsia="仿宋_GB2312" w:cs="方正仿宋_GBK"/>
          <w:kern w:val="0"/>
          <w:sz w:val="32"/>
          <w:szCs w:val="32"/>
          <w:shd w:val="clear" w:color="auto" w:fill="FFFFFF"/>
          <w:lang w:bidi="ar"/>
        </w:rPr>
        <w:t>了违规经营投资问题和线索移送办理工作规则等一系列制度。</w:t>
      </w:r>
    </w:p>
    <w:p>
      <w:pPr>
        <w:keepNext w:val="0"/>
        <w:keepLines w:val="0"/>
        <w:pageBreakBefore w:val="0"/>
        <w:widowControl/>
        <w:kinsoku/>
        <w:wordWrap/>
        <w:overflowPunct/>
        <w:topLinePunct w:val="0"/>
        <w:autoSpaceDE/>
        <w:autoSpaceDN/>
        <w:bidi w:val="0"/>
        <w:adjustRightInd/>
        <w:snapToGrid/>
        <w:spacing w:line="560" w:lineRule="exact"/>
        <w:ind w:firstLine="650" w:firstLineChars="200"/>
        <w:jc w:val="left"/>
        <w:textAlignment w:val="auto"/>
        <w:rPr>
          <w:rFonts w:hint="eastAsia" w:ascii="仿宋_GB2312" w:hAnsi="宋体" w:eastAsia="仿宋_GB2312" w:cs="方正仿宋_GBK"/>
          <w:kern w:val="0"/>
          <w:sz w:val="32"/>
          <w:szCs w:val="32"/>
          <w:shd w:val="clear" w:color="auto" w:fill="FFFFFF"/>
          <w:lang w:val="en-US" w:eastAsia="zh-CN" w:bidi="ar"/>
        </w:rPr>
      </w:pPr>
      <w:r>
        <w:rPr>
          <w:rFonts w:hint="eastAsia" w:ascii="仿宋_GB2312" w:hAnsi="宋体" w:eastAsia="仿宋_GB2312" w:cs="方正仿宋_GBK"/>
          <w:kern w:val="0"/>
          <w:sz w:val="32"/>
          <w:szCs w:val="32"/>
          <w:shd w:val="clear" w:color="auto" w:fill="FFFFFF"/>
          <w:lang w:val="en-US" w:eastAsia="zh-CN" w:bidi="ar"/>
        </w:rPr>
        <w:t>2022年12月，天津市国资委在</w:t>
      </w:r>
      <w:r>
        <w:rPr>
          <w:rFonts w:hint="eastAsia" w:ascii="仿宋_GB2312" w:hAnsi="宋体" w:eastAsia="仿宋_GB2312" w:cs="方正仿宋_GBK"/>
          <w:kern w:val="0"/>
          <w:sz w:val="32"/>
          <w:szCs w:val="32"/>
          <w:shd w:val="clear" w:color="auto" w:fill="FFFFFF"/>
          <w:lang w:bidi="ar"/>
        </w:rPr>
        <w:t>《天津市市属国有企业违规经营投资责任追究试行办法》</w:t>
      </w:r>
      <w:r>
        <w:rPr>
          <w:rFonts w:hint="eastAsia" w:ascii="仿宋_GB2312" w:hAnsi="宋体" w:eastAsia="仿宋_GB2312" w:cs="方正仿宋_GBK"/>
          <w:kern w:val="0"/>
          <w:sz w:val="32"/>
          <w:szCs w:val="32"/>
          <w:shd w:val="clear" w:color="auto" w:fill="FFFFFF"/>
          <w:lang w:eastAsia="zh-CN" w:bidi="ar"/>
        </w:rPr>
        <w:t>到期后</w:t>
      </w:r>
      <w:r>
        <w:rPr>
          <w:rFonts w:hint="eastAsia" w:ascii="仿宋_GB2312" w:hAnsi="宋体" w:eastAsia="仿宋_GB2312" w:cs="方正仿宋_GBK"/>
          <w:kern w:val="0"/>
          <w:sz w:val="32"/>
          <w:szCs w:val="32"/>
          <w:shd w:val="clear" w:color="auto" w:fill="FFFFFF"/>
          <w:lang w:val="en-US" w:eastAsia="zh-CN" w:bidi="ar"/>
        </w:rPr>
        <w:t>印发了</w:t>
      </w:r>
      <w:r>
        <w:rPr>
          <w:rFonts w:hint="eastAsia" w:ascii="仿宋_GB2312" w:hAnsi="宋体" w:eastAsia="仿宋_GB2312" w:cs="方正仿宋_GBK"/>
          <w:kern w:val="0"/>
          <w:sz w:val="32"/>
          <w:szCs w:val="32"/>
          <w:shd w:val="clear" w:color="auto" w:fill="FFFFFF"/>
          <w:lang w:bidi="ar"/>
        </w:rPr>
        <w:t>《天津市国资委监管企业违规经营投资责任追究办法（试行）》。为进一步落实国有资产保值增值责任，完善国有资产监督管理制度，有效防止国有资产流失，</w:t>
      </w:r>
      <w:r>
        <w:rPr>
          <w:rFonts w:hint="eastAsia" w:ascii="仿宋_GB2312" w:hAnsi="宋体" w:eastAsia="仿宋_GB2312" w:cs="方正仿宋_GBK"/>
          <w:kern w:val="0"/>
          <w:sz w:val="32"/>
          <w:szCs w:val="32"/>
          <w:shd w:val="clear" w:color="auto" w:fill="FFFFFF"/>
          <w:lang w:val="en-US" w:eastAsia="zh-CN" w:bidi="ar"/>
        </w:rPr>
        <w:t>区国资委</w:t>
      </w:r>
      <w:r>
        <w:rPr>
          <w:rFonts w:hint="eastAsia" w:ascii="仿宋_GB2312" w:hAnsi="宋体" w:eastAsia="仿宋_GB2312" w:cs="方正仿宋_GBK"/>
          <w:kern w:val="0"/>
          <w:sz w:val="32"/>
          <w:szCs w:val="32"/>
          <w:shd w:val="clear" w:color="auto" w:fill="FFFFFF"/>
          <w:lang w:bidi="ar"/>
        </w:rPr>
        <w:t>根据《中华人民共和国公司法》《中华人民共和国企业国有资产法》《国务院办公厅关于建立国有企业违规经营投资责任追究制度的意见》等法律法规和文件规定，参照《天津市国资委监管企业违规经营投资责任追究办法（试行）》，结合我区工作实际情况，制定</w:t>
      </w:r>
      <w:r>
        <w:rPr>
          <w:rFonts w:hint="eastAsia" w:ascii="仿宋_GB2312" w:hAnsi="宋体" w:eastAsia="仿宋_GB2312" w:cs="方正仿宋_GBK"/>
          <w:kern w:val="0"/>
          <w:sz w:val="32"/>
          <w:szCs w:val="32"/>
          <w:shd w:val="clear" w:color="auto" w:fill="FFFFFF"/>
          <w:lang w:eastAsia="zh-CN" w:bidi="ar"/>
        </w:rPr>
        <w:t>了《宁河区国资委监管企业违规经营投资责任追究试行办法》（下称办法），原文件</w:t>
      </w:r>
      <w:r>
        <w:rPr>
          <w:rFonts w:hint="eastAsia" w:ascii="仿宋_GB2312" w:hAnsi="宋体" w:eastAsia="仿宋_GB2312" w:cs="方正仿宋_GBK"/>
          <w:kern w:val="0"/>
          <w:sz w:val="32"/>
          <w:szCs w:val="32"/>
          <w:shd w:val="clear" w:color="auto" w:fill="FFFFFF"/>
          <w:lang w:val="en-US" w:eastAsia="zh-CN" w:bidi="ar"/>
        </w:rPr>
        <w:t>《宁河区区属国有企业违规经营投资责任追究试行办法》</w:t>
      </w:r>
      <w:bookmarkStart w:id="0" w:name="_GoBack"/>
      <w:bookmarkEnd w:id="0"/>
      <w:r>
        <w:rPr>
          <w:rFonts w:hint="eastAsia" w:ascii="仿宋_GB2312" w:hAnsi="宋体" w:eastAsia="仿宋_GB2312" w:cs="方正仿宋_GBK"/>
          <w:kern w:val="0"/>
          <w:sz w:val="32"/>
          <w:szCs w:val="32"/>
          <w:shd w:val="clear" w:color="auto" w:fill="FFFFFF"/>
          <w:lang w:val="en-US" w:eastAsia="zh-CN" w:bidi="ar"/>
        </w:rPr>
        <w:t>废止。</w:t>
      </w:r>
    </w:p>
    <w:p>
      <w:pPr>
        <w:widowControl/>
        <w:spacing w:line="560" w:lineRule="exact"/>
        <w:ind w:firstLine="651"/>
        <w:jc w:val="left"/>
        <w:rPr>
          <w:rFonts w:ascii="黑体" w:hAnsi="黑体" w:eastAsia="黑体" w:cs="方正仿宋_GBK"/>
          <w:kern w:val="0"/>
          <w:sz w:val="32"/>
          <w:szCs w:val="32"/>
          <w:shd w:val="clear" w:color="auto" w:fill="FFFFFF"/>
          <w:lang w:bidi="ar"/>
        </w:rPr>
      </w:pPr>
      <w:r>
        <w:rPr>
          <w:rFonts w:hint="eastAsia" w:ascii="黑体" w:hAnsi="黑体" w:eastAsia="黑体" w:cs="方正黑体_GBK"/>
          <w:kern w:val="0"/>
          <w:sz w:val="32"/>
          <w:szCs w:val="32"/>
          <w:shd w:val="clear" w:color="auto" w:fill="FFFFFF"/>
          <w:lang w:eastAsia="zh-CN" w:bidi="ar"/>
        </w:rPr>
        <w:t>二</w:t>
      </w:r>
      <w:r>
        <w:rPr>
          <w:rFonts w:hint="eastAsia" w:ascii="黑体" w:hAnsi="黑体" w:eastAsia="黑体" w:cs="方正黑体_GBK"/>
          <w:kern w:val="0"/>
          <w:sz w:val="32"/>
          <w:szCs w:val="32"/>
          <w:shd w:val="clear" w:color="auto" w:fill="FFFFFF"/>
          <w:lang w:bidi="ar"/>
        </w:rPr>
        <w:t>、《宁河区国资委监管企业违规经营投资责任追究试行办法》</w:t>
      </w:r>
      <w:r>
        <w:rPr>
          <w:rFonts w:hint="eastAsia" w:ascii="黑体" w:hAnsi="黑体" w:eastAsia="黑体" w:cs="方正仿宋_GBK"/>
          <w:kern w:val="0"/>
          <w:sz w:val="32"/>
          <w:szCs w:val="32"/>
          <w:shd w:val="clear" w:color="auto" w:fill="FFFFFF"/>
          <w:lang w:bidi="ar"/>
        </w:rPr>
        <w:t>的主要内容</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宁河区国资委监管企业违规经营投资责任追究试行办法》共八章68条。其中要内容为：第一章总则，主要规定了制定目的依据、适用范围和责任追究应遵循的基本原则；第二章责任追究范围，主要规定了集团管控、风险管理、购销管理等10个方面应当追究责任的情形；第三章资产损失认定，明确了损失认定的要求、认定证据、损失性质及认定标准；第四章责任认定，明确了追责人员范围、责任性质、相关人员及机构应当承担相应责任的情形；第五章责任追究处理，明确了组织处理、扣减薪酬、禁入限制等处理方式；第六章责任追究工作职责，明确了责任追究的主体、</w:t>
      </w:r>
      <w:r>
        <w:rPr>
          <w:rFonts w:hint="eastAsia" w:ascii="仿宋_GB2312" w:hAnsi="宋体" w:eastAsia="仿宋_GB2312" w:cs="方正仿宋_GBK"/>
          <w:kern w:val="0"/>
          <w:sz w:val="32"/>
          <w:szCs w:val="32"/>
          <w:shd w:val="clear" w:color="auto" w:fill="FFFFFF"/>
          <w:lang w:eastAsia="zh-CN" w:bidi="ar"/>
        </w:rPr>
        <w:t>区</w:t>
      </w:r>
      <w:r>
        <w:rPr>
          <w:rFonts w:hint="eastAsia" w:ascii="仿宋_GB2312" w:hAnsi="宋体" w:eastAsia="仿宋_GB2312" w:cs="方正仿宋_GBK"/>
          <w:kern w:val="0"/>
          <w:sz w:val="32"/>
          <w:szCs w:val="32"/>
          <w:shd w:val="clear" w:color="auto" w:fill="FFFFFF"/>
          <w:lang w:bidi="ar"/>
        </w:rPr>
        <w:t>国资委和监管企业的职责；第七章责任追究工作程序，对责任追究工作程序，建立责任追究工作信息化、企业禁入人员管理等配套制度提出要求；第八章附则，对监管企业和区国资委建立责任追究制度体系提出要求，明确了对国有相对控股企业、国有参股企业中国有股东代表应予追究责任的情形。</w:t>
      </w:r>
    </w:p>
    <w:p>
      <w:pPr>
        <w:pStyle w:val="2"/>
        <w:rPr>
          <w:rFonts w:hint="eastAsia" w:ascii="黑体" w:hAnsi="黑体" w:eastAsia="黑体" w:cs="黑体"/>
        </w:rPr>
      </w:pPr>
      <w:r>
        <w:rPr>
          <w:rFonts w:hint="eastAsia" w:ascii="黑体" w:hAnsi="黑体" w:eastAsia="黑体" w:cs="黑体"/>
        </w:rPr>
        <w:t>三、重点解读内容</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（一）增加责任追究范围</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主要增加了境外经营投资责任追究情形，包括未按规定建立企业境外投资管理相关制度等6个方面（第十六条）。</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（二）修订资产损失认定标准</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将重大资产损失认定金额由800万元提高到1000万元</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或者占发生损失企业追索责任认定年度上年末资产3%以上（第二十二条）。</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（三）增加责任认定范围</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主要增加了上级及更高层级企业经营管理有关人员应当承担相应责任的情形（第二十六条）以及监管企业有关经营决策机构应当承担集体责任的情形（第二十九条）。</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（四）细化责任追究处理情形</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主要增加了对相关责任人从重或加重处理（第三十八条）、从轻或减轻处理、免除处理的情形（第三十九条）。</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（五）增加责任追究工作职责</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明确了市国资委和监管企业的职责（第四十二条、第四十四条），建立责任追究报告机制等要求（第四十六条）。</w:t>
      </w:r>
    </w:p>
    <w:p>
      <w:pPr>
        <w:widowControl/>
        <w:spacing w:line="560" w:lineRule="exact"/>
        <w:ind w:firstLine="650" w:firstLineChars="200"/>
        <w:jc w:val="left"/>
        <w:rPr>
          <w:rFonts w:hint="eastAsia" w:ascii="仿宋_GB2312" w:hAnsi="宋体" w:eastAsia="仿宋_GB2312" w:cs="方正仿宋_GBK"/>
          <w:kern w:val="0"/>
          <w:sz w:val="32"/>
          <w:szCs w:val="32"/>
          <w:shd w:val="clear" w:color="auto" w:fill="FFFFFF"/>
          <w:lang w:bidi="ar"/>
        </w:rPr>
      </w:pPr>
      <w:r>
        <w:rPr>
          <w:rFonts w:hint="eastAsia" w:ascii="仿宋_GB2312" w:hAnsi="宋体" w:eastAsia="仿宋_GB2312" w:cs="方正仿宋_GBK"/>
          <w:kern w:val="0"/>
          <w:sz w:val="32"/>
          <w:szCs w:val="32"/>
          <w:shd w:val="clear" w:color="auto" w:fill="FFFFFF"/>
          <w:lang w:bidi="ar"/>
        </w:rPr>
        <w:t>（六）细化责任追究工作程序</w:t>
      </w:r>
      <w:r>
        <w:rPr>
          <w:rFonts w:hint="eastAsia" w:ascii="仿宋_GB2312" w:hAnsi="宋体" w:eastAsia="仿宋_GB2312" w:cs="方正仿宋_GBK"/>
          <w:kern w:val="0"/>
          <w:sz w:val="32"/>
          <w:szCs w:val="32"/>
          <w:shd w:val="clear" w:color="auto" w:fill="FFFFFF"/>
          <w:lang w:eastAsia="zh-CN" w:bidi="ar"/>
        </w:rPr>
        <w:t>。</w:t>
      </w:r>
      <w:r>
        <w:rPr>
          <w:rFonts w:hint="eastAsia" w:ascii="仿宋_GB2312" w:hAnsi="宋体" w:eastAsia="仿宋_GB2312" w:cs="方正仿宋_GBK"/>
          <w:kern w:val="0"/>
          <w:sz w:val="32"/>
          <w:szCs w:val="32"/>
          <w:shd w:val="clear" w:color="auto" w:fill="FFFFFF"/>
          <w:lang w:bidi="ar"/>
        </w:rPr>
        <w:t>从受理、初步核实、分类处置、核查、处理和整改6个方面，细化了责任追究工作程序和内容（第四十九条至第六十三条）。</w:t>
      </w:r>
    </w:p>
    <w:sectPr>
      <w:headerReference r:id="rId3" w:type="default"/>
      <w:footerReference r:id="rId4" w:type="default"/>
      <w:footerReference r:id="rId5" w:type="even"/>
      <w:pgSz w:w="11907" w:h="16840"/>
      <w:pgMar w:top="2098" w:right="1474" w:bottom="1417" w:left="1588" w:header="851" w:footer="1417" w:gutter="0"/>
      <w:cols w:space="720" w:num="1"/>
      <w:docGrid w:type="linesAndChars" w:linePitch="626" w:charSpace="12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eastAsia"/>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81915</wp:posOffset>
              </wp:positionV>
              <wp:extent cx="1828800" cy="1828800"/>
              <wp:effectExtent l="0" t="0" r="0" b="0"/>
              <wp:wrapNone/>
              <wp:docPr id="12" name="文本框 2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sz w:val="18"/>
                            </w:rPr>
                          </w:pPr>
                          <w:r>
                            <w:rPr>
                              <w:rStyle w:val="17"/>
                              <w:rFonts w:ascii="宋体" w:hAnsi="宋体" w:cs="宋体"/>
                              <w:sz w:val="28"/>
                              <w:szCs w:val="28"/>
                            </w:rPr>
                            <w:t>—</w:t>
                          </w:r>
                          <w:r>
                            <w:rPr>
                              <w:rFonts w:ascii="宋体" w:hAnsi="宋体" w:cs="宋体"/>
                              <w:sz w:val="28"/>
                              <w:szCs w:val="28"/>
                            </w:rPr>
                            <w:fldChar w:fldCharType="begin"/>
                          </w:r>
                          <w:r>
                            <w:rPr>
                              <w:rStyle w:val="17"/>
                              <w:rFonts w:ascii="宋体" w:hAnsi="宋体" w:cs="宋体"/>
                              <w:sz w:val="28"/>
                              <w:szCs w:val="28"/>
                            </w:rPr>
                            <w:instrText xml:space="preserve">PAGE  </w:instrText>
                          </w:r>
                          <w:r>
                            <w:rPr>
                              <w:rFonts w:ascii="宋体" w:hAnsi="宋体" w:cs="宋体"/>
                              <w:sz w:val="28"/>
                              <w:szCs w:val="28"/>
                            </w:rPr>
                            <w:fldChar w:fldCharType="separate"/>
                          </w:r>
                          <w:r>
                            <w:rPr>
                              <w:rStyle w:val="17"/>
                              <w:rFonts w:ascii="宋体" w:hAnsi="宋体" w:cs="宋体"/>
                              <w:sz w:val="28"/>
                              <w:szCs w:val="28"/>
                            </w:rPr>
                            <w:t>1</w:t>
                          </w:r>
                          <w:r>
                            <w:rPr>
                              <w:rFonts w:ascii="宋体" w:hAnsi="宋体" w:cs="宋体"/>
                              <w:sz w:val="28"/>
                              <w:szCs w:val="28"/>
                            </w:rPr>
                            <w:fldChar w:fldCharType="end"/>
                          </w:r>
                          <w:r>
                            <w:rPr>
                              <w:rStyle w:val="17"/>
                              <w:rFonts w:ascii="宋体" w:hAnsi="宋体" w:cs="宋体"/>
                              <w:sz w:val="28"/>
                              <w:szCs w:val="28"/>
                            </w:rPr>
                            <w:t>—</w:t>
                          </w:r>
                        </w:p>
                      </w:txbxContent>
                    </wps:txbx>
                    <wps:bodyPr vert="horz" wrap="none" lIns="0" tIns="0" rIns="0" bIns="0" anchor="t" upright="false">
                      <a:spAutoFit/>
                    </wps:bodyPr>
                  </wps:wsp>
                </a:graphicData>
              </a:graphic>
            </wp:anchor>
          </w:drawing>
        </mc:Choice>
        <mc:Fallback>
          <w:pict>
            <v:shape id="文本框 23" o:spid="_x0000_s1026" o:spt="202" type="#_x0000_t202" style="position:absolute;left:0pt;margin-top:6.4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7LnnDTAAAA&#10;BwEAAA8AAAAAAAAAAQAgAAAAOAAAAGRycy9kb3ducmV2LnhtbFBLAQIUABQAAAAIAIdO4kAIBt1V&#10;0wEAAIIDAAAOAAAAAAAAAAEAIAAAADgBAABkcnMvZTJvRG9jLnhtbFBLBQYAAAAABgAGAFkBAAB9&#10;BQAAAAA=&#10;">
              <v:fill on="f" focussize="0,0"/>
              <v:stroke on="f"/>
              <v:imagedata o:title=""/>
              <o:lock v:ext="edit" aspectratio="f"/>
              <v:textbox inset="0mm,0mm,0mm,0mm" style="mso-fit-shape-to-text:t;">
                <w:txbxContent>
                  <w:p>
                    <w:pPr>
                      <w:snapToGrid w:val="0"/>
                      <w:rPr>
                        <w:sz w:val="18"/>
                      </w:rPr>
                    </w:pPr>
                    <w:r>
                      <w:rPr>
                        <w:rStyle w:val="17"/>
                        <w:rFonts w:ascii="宋体" w:hAnsi="宋体" w:cs="宋体"/>
                        <w:sz w:val="28"/>
                        <w:szCs w:val="28"/>
                      </w:rPr>
                      <w:t>—</w:t>
                    </w:r>
                    <w:r>
                      <w:rPr>
                        <w:rFonts w:ascii="宋体" w:hAnsi="宋体" w:cs="宋体"/>
                        <w:sz w:val="28"/>
                        <w:szCs w:val="28"/>
                      </w:rPr>
                      <w:fldChar w:fldCharType="begin"/>
                    </w:r>
                    <w:r>
                      <w:rPr>
                        <w:rStyle w:val="17"/>
                        <w:rFonts w:ascii="宋体" w:hAnsi="宋体" w:cs="宋体"/>
                        <w:sz w:val="28"/>
                        <w:szCs w:val="28"/>
                      </w:rPr>
                      <w:instrText xml:space="preserve">PAGE  </w:instrText>
                    </w:r>
                    <w:r>
                      <w:rPr>
                        <w:rFonts w:ascii="宋体" w:hAnsi="宋体" w:cs="宋体"/>
                        <w:sz w:val="28"/>
                        <w:szCs w:val="28"/>
                      </w:rPr>
                      <w:fldChar w:fldCharType="separate"/>
                    </w:r>
                    <w:r>
                      <w:rPr>
                        <w:rStyle w:val="17"/>
                        <w:rFonts w:ascii="宋体" w:hAnsi="宋体" w:cs="宋体"/>
                        <w:sz w:val="28"/>
                        <w:szCs w:val="28"/>
                      </w:rPr>
                      <w:t>1</w:t>
                    </w:r>
                    <w:r>
                      <w:rPr>
                        <w:rFonts w:ascii="宋体" w:hAnsi="宋体" w:cs="宋体"/>
                        <w:sz w:val="28"/>
                        <w:szCs w:val="28"/>
                      </w:rPr>
                      <w:fldChar w:fldCharType="end"/>
                    </w:r>
                    <w:r>
                      <w:rPr>
                        <w:rStyle w:val="17"/>
                        <w:rFonts w:ascii="宋体" w:hAnsi="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sz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85725</wp:posOffset>
              </wp:positionH>
              <wp:positionV relativeFrom="paragraph">
                <wp:posOffset>152400</wp:posOffset>
              </wp:positionV>
              <wp:extent cx="1828800" cy="1828800"/>
              <wp:effectExtent l="0" t="0" r="0" b="0"/>
              <wp:wrapNone/>
              <wp:docPr id="13"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snapToGrid w:val="0"/>
                            <w:rPr>
                              <w:sz w:val="18"/>
                            </w:rPr>
                          </w:pPr>
                          <w:r>
                            <w:rPr>
                              <w:rStyle w:val="17"/>
                              <w:rFonts w:ascii="宋体" w:hAnsi="宋体" w:cs="宋体"/>
                              <w:sz w:val="28"/>
                              <w:szCs w:val="28"/>
                            </w:rPr>
                            <w:t xml:space="preserve">— </w:t>
                          </w:r>
                          <w:r>
                            <w:rPr>
                              <w:rFonts w:ascii="宋体" w:hAnsi="宋体" w:cs="宋体"/>
                              <w:sz w:val="28"/>
                              <w:szCs w:val="28"/>
                            </w:rPr>
                            <w:fldChar w:fldCharType="begin"/>
                          </w:r>
                          <w:r>
                            <w:rPr>
                              <w:rStyle w:val="17"/>
                              <w:rFonts w:ascii="宋体" w:hAnsi="宋体" w:cs="宋体"/>
                              <w:sz w:val="28"/>
                              <w:szCs w:val="28"/>
                            </w:rPr>
                            <w:instrText xml:space="preserve">PAGE  </w:instrText>
                          </w:r>
                          <w:r>
                            <w:rPr>
                              <w:rFonts w:ascii="宋体" w:hAnsi="宋体" w:cs="宋体"/>
                              <w:sz w:val="28"/>
                              <w:szCs w:val="28"/>
                            </w:rPr>
                            <w:fldChar w:fldCharType="separate"/>
                          </w:r>
                          <w:r>
                            <w:rPr>
                              <w:rStyle w:val="17"/>
                              <w:rFonts w:ascii="宋体" w:hAnsi="宋体" w:cs="宋体"/>
                              <w:sz w:val="28"/>
                              <w:szCs w:val="28"/>
                            </w:rPr>
                            <w:t>3</w:t>
                          </w:r>
                          <w:r>
                            <w:rPr>
                              <w:rFonts w:ascii="宋体" w:hAnsi="宋体" w:cs="宋体"/>
                              <w:sz w:val="28"/>
                              <w:szCs w:val="28"/>
                            </w:rPr>
                            <w:fldChar w:fldCharType="end"/>
                          </w:r>
                          <w:r>
                            <w:rPr>
                              <w:rStyle w:val="17"/>
                              <w:rFonts w:ascii="宋体" w:hAnsi="宋体" w:cs="宋体"/>
                              <w:sz w:val="28"/>
                              <w:szCs w:val="28"/>
                            </w:rPr>
                            <w:t xml:space="preserve"> —</w:t>
                          </w:r>
                        </w:p>
                      </w:txbxContent>
                    </wps:txbx>
                    <wps:bodyPr vert="horz" wrap="none" lIns="0" tIns="0" rIns="0" bIns="0" anchor="t" upright="false">
                      <a:spAutoFit/>
                    </wps:bodyPr>
                  </wps:wsp>
                </a:graphicData>
              </a:graphic>
            </wp:anchor>
          </w:drawing>
        </mc:Choice>
        <mc:Fallback>
          <w:pict>
            <v:shape id="文本框 24" o:spid="_x0000_s1026" o:spt="202" type="#_x0000_t202" style="position:absolute;left:0pt;margin-left:6.75pt;margin-top:12pt;height:144pt;width:144pt;mso-position-horizontal-relative:margin;mso-wrap-style:none;z-index:251659264;mso-width-relative:page;mso-height-relative:page;" filled="f" stroked="f" coordsize="21600,21600" o:gfxdata="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LN5qnTAAAA&#10;CQEAAA8AAAAAAAAAAQAgAAAAOAAAAGRycy9kb3ducmV2LnhtbFBLAQIUABQAAAAIAIdO4kAcNDfm&#10;0wEAAIIDAAAOAAAAAAAAAAEAIAAAADgBAABkcnMvZTJvRG9jLnhtbFBLBQYAAAAABgAGAFkBAAB9&#10;BQAAAAA=&#10;">
              <v:fill on="f" focussize="0,0"/>
              <v:stroke on="f"/>
              <v:imagedata o:title=""/>
              <o:lock v:ext="edit" aspectratio="f"/>
              <v:textbox inset="0mm,0mm,0mm,0mm" style="mso-fit-shape-to-text:t;">
                <w:txbxContent>
                  <w:p>
                    <w:pPr>
                      <w:snapToGrid w:val="0"/>
                      <w:rPr>
                        <w:sz w:val="18"/>
                      </w:rPr>
                    </w:pPr>
                    <w:r>
                      <w:rPr>
                        <w:rStyle w:val="17"/>
                        <w:rFonts w:ascii="宋体" w:hAnsi="宋体" w:cs="宋体"/>
                        <w:sz w:val="28"/>
                        <w:szCs w:val="28"/>
                      </w:rPr>
                      <w:t xml:space="preserve">— </w:t>
                    </w:r>
                    <w:r>
                      <w:rPr>
                        <w:rFonts w:ascii="宋体" w:hAnsi="宋体" w:cs="宋体"/>
                        <w:sz w:val="28"/>
                        <w:szCs w:val="28"/>
                      </w:rPr>
                      <w:fldChar w:fldCharType="begin"/>
                    </w:r>
                    <w:r>
                      <w:rPr>
                        <w:rStyle w:val="17"/>
                        <w:rFonts w:ascii="宋体" w:hAnsi="宋体" w:cs="宋体"/>
                        <w:sz w:val="28"/>
                        <w:szCs w:val="28"/>
                      </w:rPr>
                      <w:instrText xml:space="preserve">PAGE  </w:instrText>
                    </w:r>
                    <w:r>
                      <w:rPr>
                        <w:rFonts w:ascii="宋体" w:hAnsi="宋体" w:cs="宋体"/>
                        <w:sz w:val="28"/>
                        <w:szCs w:val="28"/>
                      </w:rPr>
                      <w:fldChar w:fldCharType="separate"/>
                    </w:r>
                    <w:r>
                      <w:rPr>
                        <w:rStyle w:val="17"/>
                        <w:rFonts w:ascii="宋体" w:hAnsi="宋体" w:cs="宋体"/>
                        <w:sz w:val="28"/>
                        <w:szCs w:val="28"/>
                      </w:rPr>
                      <w:t>3</w:t>
                    </w:r>
                    <w:r>
                      <w:rPr>
                        <w:rFonts w:ascii="宋体" w:hAnsi="宋体" w:cs="宋体"/>
                        <w:sz w:val="28"/>
                        <w:szCs w:val="28"/>
                      </w:rPr>
                      <w:fldChar w:fldCharType="end"/>
                    </w:r>
                    <w:r>
                      <w:rPr>
                        <w:rStyle w:val="17"/>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F3"/>
    <w:rsid w:val="000C7DD3"/>
    <w:rsid w:val="001240C9"/>
    <w:rsid w:val="00152F6E"/>
    <w:rsid w:val="0015303A"/>
    <w:rsid w:val="001D029F"/>
    <w:rsid w:val="001F63FC"/>
    <w:rsid w:val="0026584F"/>
    <w:rsid w:val="00273DBF"/>
    <w:rsid w:val="002749F8"/>
    <w:rsid w:val="002B0CB5"/>
    <w:rsid w:val="002D7CFC"/>
    <w:rsid w:val="00304088"/>
    <w:rsid w:val="00320266"/>
    <w:rsid w:val="00362B28"/>
    <w:rsid w:val="003679BA"/>
    <w:rsid w:val="003856E0"/>
    <w:rsid w:val="003B24EC"/>
    <w:rsid w:val="003B5E9E"/>
    <w:rsid w:val="003C23B1"/>
    <w:rsid w:val="003C712D"/>
    <w:rsid w:val="003F6717"/>
    <w:rsid w:val="00464DEA"/>
    <w:rsid w:val="004F4282"/>
    <w:rsid w:val="005216F3"/>
    <w:rsid w:val="00537289"/>
    <w:rsid w:val="005A4C28"/>
    <w:rsid w:val="005D36EB"/>
    <w:rsid w:val="005E1FDA"/>
    <w:rsid w:val="005E40B4"/>
    <w:rsid w:val="006B13FC"/>
    <w:rsid w:val="00717C63"/>
    <w:rsid w:val="007C53E8"/>
    <w:rsid w:val="007F23A9"/>
    <w:rsid w:val="007F2A4D"/>
    <w:rsid w:val="00816488"/>
    <w:rsid w:val="008228B3"/>
    <w:rsid w:val="00855202"/>
    <w:rsid w:val="00890FB4"/>
    <w:rsid w:val="00904B31"/>
    <w:rsid w:val="0091407B"/>
    <w:rsid w:val="009A29D8"/>
    <w:rsid w:val="009B49DF"/>
    <w:rsid w:val="00A72EB6"/>
    <w:rsid w:val="00A73F1F"/>
    <w:rsid w:val="00A830A1"/>
    <w:rsid w:val="00A92462"/>
    <w:rsid w:val="00B36280"/>
    <w:rsid w:val="00B42A4E"/>
    <w:rsid w:val="00C112D8"/>
    <w:rsid w:val="00C1369C"/>
    <w:rsid w:val="00C64B99"/>
    <w:rsid w:val="00C733A7"/>
    <w:rsid w:val="00C86EA0"/>
    <w:rsid w:val="00D411ED"/>
    <w:rsid w:val="00D60276"/>
    <w:rsid w:val="00DD352C"/>
    <w:rsid w:val="00DE00F9"/>
    <w:rsid w:val="00DE4A57"/>
    <w:rsid w:val="00DF3915"/>
    <w:rsid w:val="00EB6098"/>
    <w:rsid w:val="00F278D5"/>
    <w:rsid w:val="00F571D5"/>
    <w:rsid w:val="00F963FB"/>
    <w:rsid w:val="00FD4A6C"/>
    <w:rsid w:val="00FE53CA"/>
    <w:rsid w:val="00FE630D"/>
    <w:rsid w:val="05A1797B"/>
    <w:rsid w:val="06D45864"/>
    <w:rsid w:val="0E5312A4"/>
    <w:rsid w:val="134B7CB1"/>
    <w:rsid w:val="1A9B08FD"/>
    <w:rsid w:val="1B3F7E53"/>
    <w:rsid w:val="3FA606BD"/>
    <w:rsid w:val="427F602B"/>
    <w:rsid w:val="66D00320"/>
    <w:rsid w:val="753D8428"/>
    <w:rsid w:val="771D51BB"/>
    <w:rsid w:val="77FBCDD2"/>
    <w:rsid w:val="7D6D7158"/>
    <w:rsid w:val="7DEE612D"/>
    <w:rsid w:val="7FBF92B0"/>
    <w:rsid w:val="8FC51DC7"/>
    <w:rsid w:val="EBFFE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14">
    <w:name w:val="Default Paragraph Font"/>
    <w:link w:val="15"/>
    <w:semiHidden/>
    <w:qFormat/>
    <w:uiPriority w:val="0"/>
    <w:rPr>
      <w:rFonts w:eastAsia="宋体"/>
      <w:sz w:val="21"/>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600"/>
    </w:pPr>
    <w:rPr>
      <w:rFonts w:eastAsia="仿宋_GB2312"/>
      <w:sz w:val="30"/>
      <w:szCs w:val="24"/>
    </w:rPr>
  </w:style>
  <w:style w:type="paragraph" w:styleId="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5">
    <w:name w:val="toa heading"/>
    <w:basedOn w:val="1"/>
    <w:next w:val="1"/>
    <w:qFormat/>
    <w:uiPriority w:val="0"/>
    <w:pPr>
      <w:spacing w:before="120"/>
    </w:pPr>
    <w:rPr>
      <w:rFonts w:ascii="Cambria" w:hAnsi="Cambria" w:cs="Times New Roman"/>
      <w:sz w:val="24"/>
    </w:rPr>
  </w:style>
  <w:style w:type="paragraph" w:styleId="6">
    <w:name w:val="Body Text"/>
    <w:basedOn w:val="1"/>
    <w:qFormat/>
    <w:uiPriority w:val="0"/>
    <w:pPr>
      <w:spacing w:after="120"/>
    </w:pPr>
  </w:style>
  <w:style w:type="paragraph" w:styleId="7">
    <w:name w:val="Body Text Indent"/>
    <w:basedOn w:val="1"/>
    <w:qFormat/>
    <w:uiPriority w:val="0"/>
    <w:pPr>
      <w:ind w:firstLine="660"/>
    </w:pPr>
    <w:rPr>
      <w:rFonts w:ascii="宋体" w:eastAsia="宋体"/>
      <w:sz w:val="32"/>
      <w:szCs w:val="24"/>
    </w:rPr>
  </w:style>
  <w:style w:type="paragraph" w:styleId="8">
    <w:name w:val="Date"/>
    <w:basedOn w:val="1"/>
    <w:next w:val="1"/>
    <w:qFormat/>
    <w:uiPriority w:val="0"/>
    <w:pPr>
      <w:ind w:left="100" w:leftChars="2500"/>
    </w:pPr>
    <w:rPr>
      <w:rFonts w:ascii="Times New Roman" w:hAnsi="Times New Roman" w:eastAsia="宋体" w:cs="Times New Roman"/>
      <w:sz w:val="21"/>
      <w:szCs w:val="24"/>
    </w:rPr>
  </w:style>
  <w:style w:type="paragraph" w:styleId="9">
    <w:name w:val="Balloon Text"/>
    <w:basedOn w:val="1"/>
    <w:link w:val="20"/>
    <w:qFormat/>
    <w:uiPriority w:val="0"/>
    <w:rPr>
      <w:kern w:val="0"/>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_Style 1"/>
    <w:basedOn w:val="1"/>
    <w:link w:val="14"/>
    <w:semiHidden/>
    <w:qFormat/>
    <w:uiPriority w:val="0"/>
    <w:rPr>
      <w:rFonts w:ascii="Times New Roman" w:hAnsi="Times New Roman" w:eastAsia="宋体" w:cs="Times New Roman"/>
      <w:sz w:val="21"/>
      <w:szCs w:val="24"/>
    </w:rPr>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Char Char"/>
    <w:basedOn w:val="1"/>
    <w:link w:val="14"/>
    <w:qFormat/>
    <w:uiPriority w:val="0"/>
    <w:rPr>
      <w:rFonts w:eastAsia="宋体"/>
      <w:sz w:val="21"/>
      <w:szCs w:val="24"/>
    </w:rPr>
  </w:style>
  <w:style w:type="character" w:customStyle="1" w:styleId="20">
    <w:name w:val="批注框文本 Char"/>
    <w:link w:val="9"/>
    <w:semiHidden/>
    <w:qFormat/>
    <w:uiPriority w:val="99"/>
    <w:rPr>
      <w:sz w:val="18"/>
      <w:szCs w:val="18"/>
    </w:rPr>
  </w:style>
  <w:style w:type="character" w:customStyle="1" w:styleId="21">
    <w:name w:val="bt_content"/>
    <w:qFormat/>
    <w:uiPriority w:val="0"/>
    <w:rPr>
      <w:rFonts w:ascii="Times New Roman" w:hAnsi="Times New Roman" w:eastAsia="宋体" w:cs="Times New Roman"/>
      <w:sz w:val="21"/>
      <w:szCs w:val="24"/>
    </w:rPr>
  </w:style>
  <w:style w:type="paragraph" w:customStyle="1" w:styleId="22">
    <w:name w:val="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3">
    <w:name w:val="Char Char Char Char"/>
    <w:basedOn w:val="1"/>
    <w:semiHidden/>
    <w:qFormat/>
    <w:uiPriority w:val="0"/>
    <w:rPr>
      <w:rFonts w:ascii="Times New Roman" w:hAnsi="Times New Roman" w:eastAsia="宋体" w:cs="Times New Roman"/>
      <w:sz w:val="21"/>
      <w:szCs w:val="24"/>
    </w:rPr>
  </w:style>
  <w:style w:type="paragraph" w:customStyle="1" w:styleId="24">
    <w:name w:val="Char"/>
    <w:basedOn w:val="1"/>
    <w:qFormat/>
    <w:uiPriority w:val="0"/>
    <w:pPr>
      <w:widowControl/>
      <w:spacing w:after="160" w:line="240" w:lineRule="exact"/>
      <w:jc w:val="left"/>
    </w:pPr>
    <w:rPr>
      <w:rFonts w:ascii="Times New Roman" w:hAnsi="Times New Roman" w:eastAsia="宋体" w:cs="Times New Roman"/>
      <w:sz w:val="21"/>
      <w:szCs w:val="20"/>
    </w:rPr>
  </w:style>
  <w:style w:type="paragraph" w:customStyle="1" w:styleId="25">
    <w:name w:val=" Char Char Char Char Char Char"/>
    <w:basedOn w:val="1"/>
    <w:next w:val="3"/>
    <w:qFormat/>
    <w:uiPriority w:val="0"/>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195</Characters>
  <Lines>1</Lines>
  <Paragraphs>1</Paragraphs>
  <TotalTime>0</TotalTime>
  <ScaleCrop>false</ScaleCrop>
  <LinksUpToDate>false</LinksUpToDate>
  <CharactersWithSpaces>228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2013-03-23T04:44:00Z</dcterms:created>
  <dc:creator>杨武松</dc:creator>
  <cp:lastModifiedBy>admin</cp:lastModifiedBy>
  <cp:lastPrinted>2004-07-03T22:12:00Z</cp:lastPrinted>
  <dcterms:modified xsi:type="dcterms:W3CDTF">2023-07-10T16:47:43Z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