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宁河区202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lang w:eastAsia="zh-CN"/>
        </w:rPr>
        <w:t>年农业主导品种和主推技术</w:t>
      </w:r>
    </w:p>
    <w:p>
      <w:pPr>
        <w:rPr>
          <w:rFonts w:hint="eastAsia" w:cs="仿宋_GB2312"/>
          <w:sz w:val="32"/>
          <w:szCs w:val="32"/>
          <w:lang w:val="en-US" w:eastAsia="zh-CN"/>
        </w:rPr>
      </w:pPr>
    </w:p>
    <w:p>
      <w:pPr>
        <w:ind w:firstLine="640" w:firstLineChars="20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一、2025年农业主导品种</w:t>
      </w:r>
    </w:p>
    <w:p>
      <w:pPr>
        <w:ind w:firstLine="640" w:firstLineChars="200"/>
        <w:rPr>
          <w:rFonts w:hint="eastAsia" w:cs="仿宋_GB2312"/>
          <w:sz w:val="32"/>
          <w:szCs w:val="32"/>
          <w:lang w:val="en-US" w:eastAsia="zh-CN"/>
        </w:rPr>
      </w:pPr>
      <w:r>
        <w:rPr>
          <w:rFonts w:hint="eastAsia" w:cs="仿宋_GB2312"/>
          <w:sz w:val="32"/>
          <w:szCs w:val="32"/>
          <w:lang w:val="en-US" w:eastAsia="zh-CN"/>
        </w:rPr>
        <w:t>京粉6号蛋鸡配套系</w:t>
      </w:r>
    </w:p>
    <w:p>
      <w:pPr>
        <w:ind w:firstLine="640" w:firstLineChars="200"/>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二、2025年农业主推技术</w:t>
      </w:r>
    </w:p>
    <w:p>
      <w:pPr>
        <w:ind w:firstLine="640" w:firstLineChars="200"/>
        <w:rPr>
          <w:rFonts w:hint="eastAsia" w:cs="仿宋_GB2312"/>
          <w:sz w:val="32"/>
          <w:szCs w:val="32"/>
          <w:lang w:eastAsia="zh-CN"/>
        </w:rPr>
      </w:pPr>
      <w:r>
        <w:rPr>
          <w:rFonts w:hint="eastAsia" w:cs="仿宋_GB2312"/>
          <w:sz w:val="32"/>
          <w:szCs w:val="32"/>
          <w:lang w:eastAsia="zh-CN"/>
        </w:rPr>
        <w:t>种</w:t>
      </w:r>
      <w:r>
        <w:rPr>
          <w:rFonts w:hint="eastAsia" w:cs="仿宋_GB2312"/>
          <w:sz w:val="32"/>
          <w:szCs w:val="32"/>
          <w:lang w:val="en-US" w:eastAsia="zh-CN"/>
        </w:rPr>
        <w:t xml:space="preserve">  </w:t>
      </w:r>
      <w:r>
        <w:rPr>
          <w:rFonts w:hint="eastAsia" w:cs="仿宋_GB2312"/>
          <w:sz w:val="32"/>
          <w:szCs w:val="32"/>
          <w:lang w:eastAsia="zh-CN"/>
        </w:rPr>
        <w:t>植</w:t>
      </w:r>
      <w:r>
        <w:rPr>
          <w:rFonts w:hint="eastAsia" w:cs="仿宋_GB2312"/>
          <w:sz w:val="32"/>
          <w:szCs w:val="32"/>
          <w:lang w:val="en-US" w:eastAsia="zh-CN"/>
        </w:rPr>
        <w:t xml:space="preserve">  </w:t>
      </w:r>
      <w:r>
        <w:rPr>
          <w:rFonts w:hint="eastAsia" w:cs="仿宋_GB2312"/>
          <w:sz w:val="32"/>
          <w:szCs w:val="32"/>
          <w:lang w:eastAsia="zh-CN"/>
        </w:rPr>
        <w:t>业：水稻病虫害统防统治技术</w:t>
      </w:r>
    </w:p>
    <w:p>
      <w:pPr>
        <w:ind w:firstLine="2560" w:firstLineChars="800"/>
        <w:rPr>
          <w:rFonts w:hint="eastAsia" w:cs="仿宋_GB2312"/>
          <w:sz w:val="32"/>
          <w:szCs w:val="32"/>
          <w:lang w:eastAsia="zh-CN"/>
        </w:rPr>
      </w:pPr>
      <w:r>
        <w:rPr>
          <w:rFonts w:hint="eastAsia" w:cs="仿宋_GB2312"/>
          <w:sz w:val="32"/>
          <w:szCs w:val="32"/>
          <w:lang w:eastAsia="zh-CN"/>
        </w:rPr>
        <w:t>设施蔬菜高效安全栽培集成技术示范推广</w:t>
      </w:r>
    </w:p>
    <w:p>
      <w:pPr>
        <w:ind w:firstLine="2560" w:firstLineChars="800"/>
        <w:rPr>
          <w:rFonts w:hint="eastAsia" w:cs="仿宋_GB2312"/>
          <w:sz w:val="32"/>
          <w:szCs w:val="32"/>
          <w:lang w:eastAsia="zh-CN"/>
        </w:rPr>
      </w:pPr>
      <w:r>
        <w:rPr>
          <w:rFonts w:hint="eastAsia" w:cs="仿宋_GB2312"/>
          <w:sz w:val="32"/>
          <w:szCs w:val="32"/>
          <w:lang w:eastAsia="zh-CN"/>
        </w:rPr>
        <w:t>化肥减量增效技术</w:t>
      </w:r>
    </w:p>
    <w:p>
      <w:pPr>
        <w:ind w:firstLine="2560" w:firstLineChars="800"/>
        <w:rPr>
          <w:rFonts w:hint="eastAsia" w:cs="仿宋_GB2312"/>
          <w:sz w:val="32"/>
          <w:szCs w:val="32"/>
          <w:lang w:eastAsia="zh-CN"/>
        </w:rPr>
      </w:pPr>
      <w:r>
        <w:rPr>
          <w:rFonts w:hint="eastAsia" w:cs="仿宋_GB2312"/>
          <w:sz w:val="32"/>
          <w:szCs w:val="32"/>
          <w:lang w:eastAsia="zh-CN"/>
        </w:rPr>
        <w:t>甘薯水肥一体化技术</w:t>
      </w:r>
    </w:p>
    <w:p>
      <w:pPr>
        <w:ind w:firstLine="2560" w:firstLineChars="800"/>
        <w:rPr>
          <w:rFonts w:hint="eastAsia" w:cs="仿宋_GB2312"/>
          <w:sz w:val="32"/>
          <w:szCs w:val="32"/>
          <w:lang w:eastAsia="zh-CN"/>
        </w:rPr>
      </w:pPr>
      <w:r>
        <w:rPr>
          <w:rFonts w:hint="eastAsia" w:cs="仿宋_GB2312"/>
          <w:sz w:val="32"/>
          <w:szCs w:val="32"/>
          <w:lang w:eastAsia="zh-CN"/>
        </w:rPr>
        <w:t>甘薯病虫害防治技术</w:t>
      </w:r>
    </w:p>
    <w:p>
      <w:pPr>
        <w:ind w:firstLine="640" w:firstLineChars="200"/>
        <w:rPr>
          <w:rFonts w:hint="eastAsia" w:ascii="仿宋_GB2312" w:hAnsi="仿宋_GB2312" w:eastAsia="仿宋_GB2312" w:cs="仿宋_GB2312"/>
          <w:sz w:val="32"/>
          <w:szCs w:val="32"/>
          <w:lang w:eastAsia="zh-CN"/>
        </w:rPr>
      </w:pPr>
      <w:r>
        <w:rPr>
          <w:rFonts w:hint="eastAsia" w:cs="仿宋_GB2312"/>
          <w:sz w:val="32"/>
          <w:szCs w:val="32"/>
          <w:lang w:eastAsia="zh-CN"/>
        </w:rPr>
        <w:t>畜牧水产业：</w:t>
      </w:r>
      <w:r>
        <w:rPr>
          <w:rFonts w:hint="eastAsia" w:ascii="仿宋_GB2312" w:hAnsi="仿宋_GB2312" w:eastAsia="仿宋_GB2312" w:cs="仿宋_GB2312"/>
          <w:sz w:val="32"/>
          <w:szCs w:val="32"/>
          <w:lang w:eastAsia="zh-CN"/>
        </w:rPr>
        <w:t>蛋鸡无抗养殖技术技术</w:t>
      </w:r>
    </w:p>
    <w:p>
      <w:pPr>
        <w:ind w:firstLine="2560" w:firstLineChars="8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母猪精细化饲养管理技术</w:t>
      </w:r>
    </w:p>
    <w:p>
      <w:pPr>
        <w:ind w:firstLine="2560" w:firstLineChars="8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淡水养殖尾水生态处理技术</w:t>
      </w:r>
    </w:p>
    <w:p>
      <w:pPr>
        <w:ind w:firstLine="640" w:firstLineChars="20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三、主导品种和主推技术的简介</w:t>
      </w:r>
    </w:p>
    <w:p>
      <w:pPr>
        <w:pStyle w:val="2"/>
        <w:ind w:left="0" w:leftChars="0" w:firstLine="682"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4"/>
          <w:szCs w:val="34"/>
          <w:lang w:val="en-US" w:eastAsia="zh-CN"/>
        </w:rPr>
        <w:t>1.京粉6号蛋鸡配套系：</w:t>
      </w:r>
      <w:r>
        <w:rPr>
          <w:rFonts w:hint="eastAsia" w:ascii="仿宋_GB2312" w:hAnsi="仿宋_GB2312" w:eastAsia="仿宋_GB2312" w:cs="仿宋_GB2312"/>
          <w:sz w:val="32"/>
          <w:szCs w:val="32"/>
          <w:lang w:val="en-US" w:eastAsia="zh-CN"/>
        </w:rPr>
        <w:t>‌京粉6号蛋鸡配套系是中国首创的高产粉壳蛋鸡品种‌,由北京市华都峪口禽业有限责任公司与中国农业大学联合培育,通过自主创新解决了红羽鸡产中粉蛋的世界级难题,实现了红羽鸡产粉壳蛋的突破。京粉6号诞生于中国自主研发的蛋鸡育种项目，为‌世界首创红羽鸡产中粉蛋‌：在全球首次实现红羽基因鸡群稳定产出粉壳蛋，破解了长期存在的技术难题，满足国内市场对中粉蛋的独特需求。</w:t>
      </w:r>
    </w:p>
    <w:p>
      <w:pPr>
        <w:pStyle w:val="2"/>
        <w:ind w:left="0" w:leftChars="0" w:firstLine="682" w:firstLineChars="200"/>
        <w:rPr>
          <w:rFonts w:hint="eastAsia" w:ascii="仿宋_GB2312" w:hAnsi="仿宋_GB2312" w:eastAsia="仿宋_GB2312" w:cs="仿宋_GB2312"/>
          <w:b/>
          <w:bCs/>
          <w:sz w:val="34"/>
          <w:szCs w:val="34"/>
          <w:lang w:val="en-US" w:eastAsia="zh-CN"/>
        </w:rPr>
      </w:pPr>
    </w:p>
    <w:p>
      <w:pPr>
        <w:pStyle w:val="2"/>
        <w:ind w:left="0" w:leftChars="0" w:firstLine="682" w:firstLineChars="200"/>
        <w:rPr>
          <w:rFonts w:hint="eastAsia" w:ascii="仿宋_GB2312" w:hAnsi="仿宋_GB2312" w:eastAsia="仿宋_GB2312" w:cs="仿宋_GB2312"/>
          <w:b/>
          <w:bCs/>
          <w:sz w:val="34"/>
          <w:szCs w:val="34"/>
          <w:lang w:val="en-US" w:eastAsia="zh-CN"/>
        </w:rPr>
      </w:pPr>
      <w:r>
        <w:rPr>
          <w:rFonts w:hint="eastAsia" w:ascii="仿宋_GB2312" w:hAnsi="仿宋_GB2312" w:eastAsia="仿宋_GB2312" w:cs="仿宋_GB2312"/>
          <w:b/>
          <w:bCs/>
          <w:sz w:val="34"/>
          <w:szCs w:val="34"/>
          <w:lang w:val="en-US" w:eastAsia="zh-CN"/>
        </w:rPr>
        <w:t>2.水稻病虫害统防统治技术</w:t>
      </w:r>
    </w:p>
    <w:p>
      <w:pPr>
        <w:pStyle w:val="2"/>
        <w:ind w:left="0" w:leftChars="0" w:firstLine="642"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一、技术概述</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病虫害统防统治是指在一定生态区域运用生态调控方法，控制病虫的发生与流行，采用综合防治手段，控制病虫的危害和损失。在本地区种植区域内做到统一预防、统一防治，依靠专业人员、专业药械，进行专业施药的防治技术。</w:t>
      </w:r>
    </w:p>
    <w:p>
      <w:pPr>
        <w:pStyle w:val="2"/>
        <w:ind w:left="0" w:leftChars="0" w:firstLine="642"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二、增产增效情况</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可减少化学农药使用量、减少生产成本、减少环境污染；可提高防治效果达90%以上、提高作业效率、提高种植效益。</w:t>
      </w:r>
    </w:p>
    <w:p>
      <w:pPr>
        <w:pStyle w:val="2"/>
        <w:ind w:left="0" w:leftChars="0" w:firstLine="642"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三、技术要点</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作业方式主要以无人机防治为主，进行大面积统一防治病虫害，包括沟边埝埂有杂草的地块，进行全方位喷防，不留死角，阻止了病虫害转移危害；二是全程进行3次防治，分别在6月中下旬、破口前5-7天、齐穗期，主要以防治二化螟、稻飞虱、稻曲病、纹枯病、稻瘟病为主；三是在农药上选用高效、低毒、低残留的适合于无人机溶解效果好农药，同时在配药过程中对农药废弃包装物进行回收，有效解决污染问题。</w:t>
      </w:r>
    </w:p>
    <w:p>
      <w:pPr>
        <w:pStyle w:val="2"/>
        <w:ind w:left="0" w:leftChars="0" w:firstLine="642"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四、适宜区域</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水稻种植区。</w:t>
      </w:r>
    </w:p>
    <w:p>
      <w:pPr>
        <w:pStyle w:val="2"/>
        <w:ind w:left="0" w:leftChars="0" w:firstLine="642"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五、注意事项</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准备掌握水稻病虫害发生始期。采用无人机进行防治时，施药作业选择晴朗、无风或微风天气进行（风速 3 级以内）；避开中午高温时段（气温＜30℃）；根据不同机型控制好作业高度，距离作物2-2.2米；喷药后6-12小时内遇雨应补喷；药力求均匀细致，不得重喷或漏喷。</w:t>
      </w:r>
    </w:p>
    <w:p>
      <w:pPr>
        <w:pStyle w:val="2"/>
        <w:ind w:left="0" w:leftChars="0" w:firstLine="642" w:firstLineChars="200"/>
        <w:rPr>
          <w:rFonts w:hint="eastAsia" w:ascii="仿宋_GB2312" w:hAnsi="仿宋_GB2312" w:eastAsia="仿宋_GB2312" w:cs="仿宋_GB2312"/>
          <w:b/>
          <w:bCs/>
          <w:sz w:val="32"/>
          <w:szCs w:val="32"/>
          <w:lang w:val="en-US" w:eastAsia="zh-CN"/>
        </w:rPr>
      </w:pPr>
    </w:p>
    <w:p>
      <w:pPr>
        <w:pStyle w:val="2"/>
        <w:ind w:left="0" w:leftChars="0" w:firstLine="682" w:firstLineChars="200"/>
        <w:rPr>
          <w:rFonts w:hint="eastAsia" w:ascii="仿宋_GB2312" w:hAnsi="仿宋_GB2312" w:eastAsia="仿宋_GB2312" w:cs="仿宋_GB2312"/>
          <w:b/>
          <w:bCs/>
          <w:sz w:val="34"/>
          <w:szCs w:val="34"/>
          <w:lang w:val="en-US" w:eastAsia="zh-CN"/>
        </w:rPr>
      </w:pPr>
      <w:r>
        <w:rPr>
          <w:rFonts w:hint="eastAsia" w:ascii="仿宋_GB2312" w:hAnsi="仿宋_GB2312" w:eastAsia="仿宋_GB2312" w:cs="仿宋_GB2312"/>
          <w:b/>
          <w:bCs/>
          <w:sz w:val="34"/>
          <w:szCs w:val="34"/>
          <w:lang w:val="en-US" w:eastAsia="zh-CN"/>
        </w:rPr>
        <w:t>3.设施蔬菜高效安全栽培集成技术示范推广</w:t>
      </w:r>
    </w:p>
    <w:p>
      <w:pPr>
        <w:pStyle w:val="2"/>
        <w:ind w:left="0" w:leftChars="0" w:firstLine="642"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一、技术概述</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1.技术基本情况</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宁河区设施农业生产面积 2.7 万亩，蔬菜生产已由规模扩张阶段向质量效益提升阶段转变。同时放心菜基地以及设施农业提升工程建设也促进了我区现代农业全面升级新局面。但仍存在资源利用率、成果转化率和单位面积产量低；专用品种少；种植模式与栽培技术研发滞后；病虫害绿色防治体系和设施环境保护体系尚未完全建立等方面的短板。通过本项目的实施，对促进我区现代农业建设、调整农业结构、实现农业增效农民增收、提高土地和资源利用效率、增加农产品多样化有效供给、保障食品安全和保护农业环境、推动“三农”发展必将起到积极作用和深远影响。</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2.技术示范推广情况</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不同设施蔬菜园区的种植特点，选择基础条件好、菜农科学种菜水平高的园区作为示范区，建立新品种试验示范区，引进新品种为实现高产优质和高效奠定基础；优选出最适合我区的设施种植茬口并推广；病虫害绿色综合防治技术示范，本着“预防为主，综合防治”的植物保护方针，在选用优良品种和优化蔬菜生长环境的基础上，优先采用农业、生态、物理、生物防治方法，把有害生物控制在初发阶段。在岳龙镇、丰台镇、苗庄镇、潘庄镇等村推广了病虫害绿色综合防控技术，推广面积 4450 亩。</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3.技术成果及获奖情况</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该项目获得宁河区科学技术进步奖二等奖</w:t>
      </w:r>
    </w:p>
    <w:p>
      <w:pPr>
        <w:pStyle w:val="2"/>
        <w:ind w:left="0" w:leftChars="0" w:firstLine="642"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二、增产增效情况</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通过项目的实施，平均亩增收 1500 元以上，亩可节本 160 元，亩均节本增收 1600 元以上。</w:t>
      </w:r>
    </w:p>
    <w:p>
      <w:pPr>
        <w:pStyle w:val="2"/>
        <w:ind w:left="0" w:leftChars="0" w:firstLine="642"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三、技术要点</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（1）设施蔬菜专用优良新品种引育，突出长势强、效益高、采收期长的高档新品种；</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（2）栽培模式的优化设计，重点对日光温室和大棚一年一大茬与一年多茬栽培模式的优化设计；</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（3）设施蔬菜主要病虫害发生发展的气象指标体系及病虫害绿色综合防治技术。主要推广捕虫板诱杀技术、杀虫灯诱杀技术应用、防虫网、遮阳网覆盖技术、土壤消毒技术应用以及微滴灌技术等。</w:t>
      </w:r>
    </w:p>
    <w:p>
      <w:pPr>
        <w:pStyle w:val="2"/>
        <w:ind w:left="0" w:leftChars="0" w:firstLine="642"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四、适宜区域</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全市</w:t>
      </w:r>
    </w:p>
    <w:p>
      <w:pPr>
        <w:pStyle w:val="2"/>
        <w:ind w:left="0" w:leftChars="0" w:firstLine="640" w:firstLineChars="200"/>
        <w:rPr>
          <w:rFonts w:hint="eastAsia" w:ascii="仿宋_GB2312" w:hAnsi="仿宋_GB2312" w:eastAsia="仿宋_GB2312" w:cs="仿宋_GB2312"/>
          <w:sz w:val="32"/>
          <w:szCs w:val="32"/>
          <w:lang w:val="en-US" w:eastAsia="zh-CN"/>
        </w:rPr>
      </w:pPr>
    </w:p>
    <w:p>
      <w:pPr>
        <w:pStyle w:val="2"/>
        <w:ind w:left="0" w:leftChars="0" w:firstLine="682" w:firstLineChars="200"/>
        <w:rPr>
          <w:rFonts w:hint="eastAsia" w:ascii="仿宋_GB2312" w:hAnsi="仿宋_GB2312" w:eastAsia="仿宋_GB2312" w:cs="仿宋_GB2312"/>
          <w:b/>
          <w:bCs/>
          <w:sz w:val="34"/>
          <w:szCs w:val="34"/>
          <w:lang w:val="en-US" w:eastAsia="zh-CN"/>
        </w:rPr>
      </w:pPr>
      <w:r>
        <w:rPr>
          <w:rFonts w:hint="eastAsia" w:ascii="仿宋_GB2312" w:hAnsi="仿宋_GB2312" w:eastAsia="仿宋_GB2312" w:cs="仿宋_GB2312"/>
          <w:b/>
          <w:bCs/>
          <w:sz w:val="34"/>
          <w:szCs w:val="34"/>
          <w:lang w:val="en-US" w:eastAsia="zh-CN"/>
        </w:rPr>
        <w:t>4.化肥减量增效技术</w:t>
      </w:r>
    </w:p>
    <w:p>
      <w:pPr>
        <w:pStyle w:val="2"/>
        <w:ind w:left="0" w:leftChars="0" w:firstLine="642"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一、技术概述</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2015年农业部制订了《到2020年化肥使用量零增长行动方案》，我市确定了到2020年化肥使用量零增长的总体目标；2016-2023年在农业农村部和市财政的支持下，在测土配方施肥工作的基础上，以转变施肥方式、优化施肥配方和推广新型肥料品种为抓手，以示范样板带动为突破点，进行化肥减量增效技术示范推广。2016-2021年全市建立化肥减量增效示范区16.1万亩 ，2022-2023年施肥方式实现新突破，我市在全国农技中心的指导下集成施肥新技术、新产品、新机具“三新”技术进行示范推广，全市建立化肥减量增效“三新”升级版示范区 31 万亩；通过化肥减量增效技术的示范推广，提高了全市的化肥利用率，保障了粮食等主要农产品有效供给，促进了农业可持续发展。2021 年 9 月《天津市化肥减量增效技术模式集成与推广应用》取得科技成果（登记号：津 20210661）。</w:t>
      </w:r>
    </w:p>
    <w:p>
      <w:pPr>
        <w:pStyle w:val="2"/>
        <w:ind w:left="0" w:leftChars="0" w:firstLine="642"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二、增产增效情况</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化肥减量增效技术通过不断摸索，形成了较成熟的技术模式，以小麦玉米种肥同播和水稻侧深施肥等转变施肥方式的为主推技术进行统计，2016 年到 2020 年，粮食总增产 18.58 万吨，减少化肥投入纯量 0.90 万吨，新增总经济效益 25488.04 万元。2021 年示范区化肥平均减量 10.8%，作物亩均增产 30.3kg，亩均节本增收 106.43 元；2022 年示范区化肥平均减量 6.72%，作物亩均增产 17.33kg，亩均节本增收 64.34 元；2023 年示范区化肥平均减量 2.97%，作物亩均增产 47.42kg，亩均节本增收 119.59 元。</w:t>
      </w:r>
    </w:p>
    <w:p>
      <w:pPr>
        <w:pStyle w:val="2"/>
        <w:ind w:left="0" w:leftChars="0" w:firstLine="642"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三、技术要点</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1.测土配方施肥技术</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测土配方施肥技术是指以土壤测试和肥料田间试验为基础，根据作物需肥规律、土壤供肥性能和肥料效应，在合理施用有机肥基础上，计算出需要施用的化学肥料中氮、磷、钾及中、微量元素用量，根据作物的需肥规律选择适当的施肥时期和肥料品种，达到土壤与植物营养需求均衡；随着肥料品种的更新换代，进一步优化施肥配方和施肥方式，提高肥料利用效率。</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2.小麦种肥同播化肥减量增效技术</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小麦种肥同播技术是利用小麦种肥播种机械将小麦种子和缓控释肥料同时施入土壤，一次性完成播种施肥作业的技术模式，应选择丰产性好，抗逆性强的品种，种子播种深度在 3-5cm 左右，种肥间隔 5cm 以上，最好达到 10cm。在肥料施用上采取集中深施，降低了肥料的固定，易于作物吸收，该技术具有省工省力省时、提高肥效、增加产量的特点。</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3.玉米种肥同播化肥减量增效技术</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玉米种肥同播技术是利用玉米种肥播种机对玉米种子和缓控释肥料同时施入土壤的技术模式，应选择丰产性好，抗逆性强的品种，一般种子深度 3-5cm，肥料深度约 10cm。所用高效缓释肥养分不易流失，保证作物各个时期养分供应，保证肥料养分充分利用，利于形成壮苗健株，使用该技术可以不间苗，后期不追肥，省工省时，节种提产。</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4.水稻侧深施肥化肥减量增效技术</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水稻侧深施肥是指在水稻插秧的同时将肥料一次性、准确、定量呈条带状施于秧苗一侧且具有一定深度的施肥方式，肥料施于秧苗侧边 3-5cm、深度约 5cm 处，选择植株健壮、盘根良好的秧苗，插秧时匀速作业，避免缺苗、倒伏、歪苗、埋苗。施肥应均匀，严防堵塞排肥口。与传统施肥方式相比，秧苗返青快，施肥总量少，有效解决了传统施肥方式肥料流失严重的问题。</w:t>
      </w:r>
    </w:p>
    <w:p>
      <w:pPr>
        <w:pStyle w:val="2"/>
        <w:ind w:left="0" w:leftChars="0" w:firstLine="642"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 适宜区域</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天津市及周边地区。</w:t>
      </w:r>
    </w:p>
    <w:p>
      <w:pPr>
        <w:pStyle w:val="2"/>
        <w:ind w:left="0" w:leftChars="0" w:firstLine="642"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 注意事项</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1.中微量元素肥料的施用应注意控制用量。</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2.肥料与种子不能直接接触，肥料应在种子侧边或同一行的不同深度，相隔 5-10cm。</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3.所施用的肥料应符合国家相关标准要求，玉米种肥同播如采取全生育期一次性施肥，所用的复（混）合肥料氮含量应不少于 24%，其中缓释氮含量不低于 8%，亩用量在 35-40 公斤。</w:t>
      </w:r>
    </w:p>
    <w:p>
      <w:pPr>
        <w:pStyle w:val="2"/>
        <w:ind w:left="0" w:leftChars="0" w:firstLine="640" w:firstLineChars="200"/>
        <w:rPr>
          <w:rFonts w:hint="eastAsia" w:ascii="仿宋_GB2312" w:hAnsi="仿宋_GB2312" w:eastAsia="仿宋_GB2312" w:cs="仿宋_GB2312"/>
          <w:sz w:val="32"/>
          <w:szCs w:val="32"/>
          <w:lang w:val="en-US" w:eastAsia="zh-CN"/>
        </w:rPr>
      </w:pPr>
      <w:bookmarkStart w:id="0" w:name="_GoBack"/>
      <w:bookmarkEnd w:id="0"/>
    </w:p>
    <w:p>
      <w:pPr>
        <w:pStyle w:val="2"/>
        <w:ind w:left="0" w:leftChars="0" w:firstLine="682" w:firstLineChars="200"/>
        <w:rPr>
          <w:rFonts w:hint="eastAsia" w:ascii="仿宋_GB2312" w:hAnsi="仿宋_GB2312" w:eastAsia="仿宋_GB2312" w:cs="仿宋_GB2312"/>
          <w:b/>
          <w:bCs/>
          <w:sz w:val="34"/>
          <w:szCs w:val="34"/>
          <w:lang w:val="en-US" w:eastAsia="zh-CN"/>
        </w:rPr>
      </w:pPr>
      <w:r>
        <w:rPr>
          <w:rFonts w:hint="eastAsia" w:ascii="仿宋_GB2312" w:hAnsi="仿宋_GB2312" w:eastAsia="仿宋_GB2312" w:cs="仿宋_GB2312"/>
          <w:b/>
          <w:bCs/>
          <w:sz w:val="34"/>
          <w:szCs w:val="34"/>
          <w:lang w:val="en-US" w:eastAsia="zh-CN"/>
        </w:rPr>
        <w:t>5.甘薯水肥一体化技术</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甘薯水肥一体化技术是针对种植红瑶甘薯地区整合灌溉与施肥的农业技术，通过水肥混合后精准输送至作物根部，实现“水、肥、药”一体化管理，提高水肥利用效率，同时促进作物生长、提升产量与品质，适用于规模化种植场景。</w:t>
      </w:r>
    </w:p>
    <w:p>
      <w:pPr>
        <w:pStyle w:val="2"/>
        <w:ind w:left="0" w:leftChars="0" w:firstLine="642"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一、选种与育苗</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1.选择高产、抗病性强的红瑶甘薯品种。</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2.进行催芽处理：将甘薯种子置于45℃的温水中浸泡10~12小时，然后捞出置于27℃的温暖潮湿环境中催芽。</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3.采用温床育苗技术，苗床土质要肥沃，排灌条件要优良，并按斜排方式放置薯种，覆盖细土并拌入生物有机肥。</w:t>
      </w:r>
    </w:p>
    <w:p>
      <w:pPr>
        <w:pStyle w:val="2"/>
        <w:ind w:left="0" w:leftChars="0" w:firstLine="642"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二、深耕起垄与基肥施用</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1.深耕整地，耕深30厘米左右，以降低地下病虫害发生的概率。</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2.起高垄，垄高20~30厘米，垄距80~90厘米（根据地形调整）。</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3.基肥施用遵循“以地定产、以产定钾”原则，重点加强钾肥与氮肥的施用控制，有机肥为主，搭配速效化肥。</w:t>
      </w:r>
    </w:p>
    <w:p>
      <w:pPr>
        <w:pStyle w:val="2"/>
        <w:ind w:left="0" w:leftChars="0" w:firstLine="642"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三、设备安装与调试</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1.水肥一体化设备包括施肥器、滴灌带、滴灌管等，要合理布局。</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2.滴灌管位于水源一侧与垄垂直，通过稳流器连接滴灌带，每一垄垄顶上摆放一条滴灌带。</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3.安装后调试设备，确保工作正常，无跑漏现象。</w:t>
      </w:r>
    </w:p>
    <w:p>
      <w:pPr>
        <w:pStyle w:val="2"/>
        <w:ind w:left="0" w:leftChars="0" w:firstLine="642"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四、水肥一体化管理</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1.‌缓苗期‌：结合滴灌每亩使用适量的生物制剂或农药，以促进甘薯缓苗并防治地下害虫。</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2.‌薯块膨大期‌：7月中下旬，结合滴灌追施含钾量较高的肥料，如每亩追施水冲肥或磷酸二氢钾。</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3.‌后期管理‌：8月中旬后，根据植株长势及气候状况，确定浇水次数、施肥种类及施肥量。</w:t>
      </w:r>
    </w:p>
    <w:p>
      <w:pPr>
        <w:pStyle w:val="2"/>
        <w:ind w:left="0" w:leftChars="0" w:firstLine="642"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五、田间管理</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1.及时除草，可人工除草或采用化学药物除草（注意选择专用除草药物，避免伤苗）。</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2.甘薯耐旱怕涝，在阴雨天气要及时排涝，防止田间积水。</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3.适时控旺提蔓摘心，预防甘薯长势过旺。</w:t>
      </w:r>
    </w:p>
    <w:p>
      <w:pPr>
        <w:pStyle w:val="2"/>
        <w:ind w:left="0" w:leftChars="0" w:firstLine="642"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六、适时收获</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1.在霜降前后是甘薯收获时期，收获前要了解土壤湿度，避免薯块破损。</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2.通过以上技术方案的实施，可以提高红瑶甘薯的产量和质量，实现节水节肥、降本增效的目的。</w:t>
      </w:r>
    </w:p>
    <w:p>
      <w:pPr>
        <w:pStyle w:val="2"/>
        <w:ind w:left="0" w:leftChars="0" w:firstLine="642"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七、品种选择与前期准备</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1.‌脱毒种苗‌</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1.1优先选用脱毒红瑶甘薯试管苗，抗病性强且产量稳定，需符合《GB7413甘薯种苗产地检疫规程》。</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2.‌土壤与轮作‌</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2.1沙性透气土壤为宜，实行与花生、玉米等非薯类作物3年以上轮作，减轻病虫害。</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2.2冬季深耕25-30cm，春季浅耕保墒，起垄高度25-30cm（旱薄地垄距适当缩小）。</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3.‌覆膜与滴灌带铺设‌</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3.1起垄时同步覆盖黑色可降解地膜（保湿抑草），并在垄面中间铺设滴灌带，实现水肥同步输送。</w:t>
      </w:r>
    </w:p>
    <w:p>
      <w:pPr>
        <w:pStyle w:val="2"/>
        <w:ind w:left="0" w:leftChars="0" w:firstLine="642"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八、水肥一体化系统配置</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1.‌设备选型‌</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1.1‌核心设备‌：推荐集成EC/pH监测、分区控制的智能水肥一体机（如搭配活性水技术的设备，可提升水肥渗透性）。</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1.2‌滴灌带‌：抗堵塞激光打孔滴头，适配丘陵地形的太阳能驱动设备可选。</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2.‌水源要求‌</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2.1灌溉水质需符合《GB5084农田灌溉水质标准》，配置多级过滤系统防止堵塞。</w:t>
      </w:r>
    </w:p>
    <w:p>
      <w:pPr>
        <w:pStyle w:val="2"/>
        <w:ind w:left="0" w:leftChars="0" w:firstLine="642"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九、水肥管理方案</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1.‌施肥原则‌</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1.1‌基肥‌：结合深耕施足有机肥，氮磷钾均衡（N₂O₅₂O≈1:0.5:2）19。</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1.2‌追肥策略‌（通过滴灌系统分阶段调控）：</w:t>
      </w:r>
    </w:p>
    <w:tbl>
      <w:tblPr>
        <w:tblStyle w:val="6"/>
        <w:tblW w:w="8920" w:type="dxa"/>
        <w:jc w:val="center"/>
        <w:tblCellSpacing w:w="15" w:type="dxa"/>
        <w:tblLayout w:type="fixed"/>
        <w:tblCellMar>
          <w:top w:w="0" w:type="dxa"/>
          <w:left w:w="0" w:type="dxa"/>
          <w:bottom w:w="0" w:type="dxa"/>
          <w:right w:w="0" w:type="dxa"/>
        </w:tblCellMar>
      </w:tblPr>
      <w:tblGrid>
        <w:gridCol w:w="2113"/>
        <w:gridCol w:w="3402"/>
        <w:gridCol w:w="3405"/>
      </w:tblGrid>
      <w:tr>
        <w:tblPrEx>
          <w:tblCellMar>
            <w:top w:w="0" w:type="dxa"/>
            <w:left w:w="0" w:type="dxa"/>
            <w:bottom w:w="0" w:type="dxa"/>
            <w:right w:w="0" w:type="dxa"/>
          </w:tblCellMar>
        </w:tblPrEx>
        <w:trPr>
          <w:tblHeader/>
          <w:tblCellSpacing w:w="15" w:type="dxa"/>
          <w:jc w:val="center"/>
        </w:trPr>
        <w:tc>
          <w:tcPr>
            <w:tcW w:w="2068" w:type="dxa"/>
            <w:tcBorders>
              <w:top w:val="single" w:color="auto" w:sz="6" w:space="0"/>
              <w:left w:val="single" w:color="auto" w:sz="6" w:space="0"/>
              <w:bottom w:val="single" w:color="auto" w:sz="6" w:space="0"/>
              <w:right w:val="single" w:color="auto" w:sz="6" w:space="0"/>
            </w:tcBorders>
            <w:shd w:val="clear" w:color="auto" w:fill="auto"/>
            <w:noWrap/>
            <w:tcMar>
              <w:top w:w="158" w:type="dxa"/>
              <w:left w:w="240" w:type="dxa"/>
              <w:bottom w:w="113" w:type="dxa"/>
              <w:right w:w="240" w:type="dxa"/>
            </w:tcMar>
            <w:vAlign w:val="center"/>
          </w:tcPr>
          <w:p>
            <w:pPr>
              <w:widowControl/>
              <w:spacing w:line="520" w:lineRule="exact"/>
              <w:jc w:val="left"/>
              <w:rPr>
                <w:rFonts w:asciiTheme="minorEastAsia" w:hAnsiTheme="minorEastAsia" w:cstheme="minorEastAsia"/>
                <w:b/>
                <w:bCs/>
                <w:color w:val="auto"/>
                <w:sz w:val="30"/>
                <w:szCs w:val="30"/>
              </w:rPr>
            </w:pPr>
            <w:r>
              <w:rPr>
                <w:rFonts w:hint="eastAsia" w:asciiTheme="minorEastAsia" w:hAnsiTheme="minorEastAsia" w:cstheme="minorEastAsia"/>
                <w:b/>
                <w:bCs/>
                <w:color w:val="auto"/>
                <w:kern w:val="0"/>
                <w:sz w:val="30"/>
                <w:szCs w:val="30"/>
              </w:rPr>
              <w:t>生长阶段</w:t>
            </w:r>
          </w:p>
        </w:tc>
        <w:tc>
          <w:tcPr>
            <w:tcW w:w="3372" w:type="dxa"/>
            <w:tcBorders>
              <w:top w:val="single" w:color="auto" w:sz="6" w:space="0"/>
              <w:bottom w:val="single" w:color="auto" w:sz="6" w:space="0"/>
              <w:right w:val="single" w:color="auto" w:sz="6" w:space="0"/>
            </w:tcBorders>
            <w:shd w:val="clear" w:color="auto" w:fill="auto"/>
            <w:noWrap/>
            <w:tcMar>
              <w:top w:w="158" w:type="dxa"/>
              <w:left w:w="240" w:type="dxa"/>
              <w:bottom w:w="113" w:type="dxa"/>
              <w:right w:w="240" w:type="dxa"/>
            </w:tcMar>
            <w:vAlign w:val="center"/>
          </w:tcPr>
          <w:p>
            <w:pPr>
              <w:widowControl/>
              <w:spacing w:line="520" w:lineRule="exact"/>
              <w:ind w:firstLine="602" w:firstLineChars="200"/>
              <w:jc w:val="left"/>
              <w:rPr>
                <w:rFonts w:asciiTheme="minorEastAsia" w:hAnsiTheme="minorEastAsia" w:cstheme="minorEastAsia"/>
                <w:b/>
                <w:bCs/>
                <w:color w:val="auto"/>
                <w:sz w:val="30"/>
                <w:szCs w:val="30"/>
              </w:rPr>
            </w:pPr>
            <w:r>
              <w:rPr>
                <w:rFonts w:hint="eastAsia" w:asciiTheme="minorEastAsia" w:hAnsiTheme="minorEastAsia" w:cstheme="minorEastAsia"/>
                <w:b/>
                <w:bCs/>
                <w:color w:val="auto"/>
                <w:kern w:val="0"/>
                <w:sz w:val="30"/>
                <w:szCs w:val="30"/>
              </w:rPr>
              <w:t>养分需求</w:t>
            </w:r>
          </w:p>
        </w:tc>
        <w:tc>
          <w:tcPr>
            <w:tcW w:w="3360" w:type="dxa"/>
            <w:tcBorders>
              <w:top w:val="single" w:color="auto" w:sz="6" w:space="0"/>
              <w:bottom w:val="single" w:color="auto" w:sz="6" w:space="0"/>
              <w:right w:val="single" w:color="auto" w:sz="6" w:space="0"/>
            </w:tcBorders>
            <w:shd w:val="clear" w:color="auto" w:fill="auto"/>
            <w:noWrap/>
            <w:tcMar>
              <w:top w:w="158" w:type="dxa"/>
              <w:left w:w="240" w:type="dxa"/>
              <w:bottom w:w="113" w:type="dxa"/>
              <w:right w:w="240" w:type="dxa"/>
            </w:tcMar>
            <w:vAlign w:val="center"/>
          </w:tcPr>
          <w:p>
            <w:pPr>
              <w:widowControl/>
              <w:spacing w:line="520" w:lineRule="exact"/>
              <w:ind w:firstLine="602" w:firstLineChars="200"/>
              <w:jc w:val="left"/>
              <w:rPr>
                <w:rFonts w:asciiTheme="minorEastAsia" w:hAnsiTheme="minorEastAsia" w:cstheme="minorEastAsia"/>
                <w:b/>
                <w:bCs/>
                <w:color w:val="auto"/>
                <w:sz w:val="30"/>
                <w:szCs w:val="30"/>
              </w:rPr>
            </w:pPr>
            <w:r>
              <w:rPr>
                <w:rFonts w:hint="eastAsia" w:asciiTheme="minorEastAsia" w:hAnsiTheme="minorEastAsia" w:cstheme="minorEastAsia"/>
                <w:b/>
                <w:bCs/>
                <w:color w:val="auto"/>
                <w:kern w:val="0"/>
                <w:sz w:val="30"/>
                <w:szCs w:val="30"/>
              </w:rPr>
              <w:t>操作要点</w:t>
            </w:r>
          </w:p>
        </w:tc>
      </w:tr>
      <w:tr>
        <w:tblPrEx>
          <w:tblCellMar>
            <w:top w:w="0" w:type="dxa"/>
            <w:left w:w="0" w:type="dxa"/>
            <w:bottom w:w="0" w:type="dxa"/>
            <w:right w:w="0" w:type="dxa"/>
          </w:tblCellMar>
        </w:tblPrEx>
        <w:trPr>
          <w:tblCellSpacing w:w="15" w:type="dxa"/>
          <w:jc w:val="center"/>
        </w:trPr>
        <w:tc>
          <w:tcPr>
            <w:tcW w:w="2068" w:type="dxa"/>
            <w:tcBorders>
              <w:left w:val="single" w:color="auto" w:sz="6" w:space="0"/>
              <w:bottom w:val="single" w:color="auto" w:sz="6" w:space="0"/>
              <w:right w:val="single" w:color="auto" w:sz="6" w:space="0"/>
            </w:tcBorders>
            <w:shd w:val="clear" w:color="auto" w:fill="auto"/>
            <w:tcMar>
              <w:top w:w="158" w:type="dxa"/>
              <w:left w:w="240" w:type="dxa"/>
              <w:bottom w:w="158" w:type="dxa"/>
              <w:right w:w="240" w:type="dxa"/>
            </w:tcMar>
            <w:vAlign w:val="center"/>
          </w:tcPr>
          <w:p>
            <w:pPr>
              <w:widowControl/>
              <w:spacing w:line="520" w:lineRule="exact"/>
              <w:jc w:val="left"/>
              <w:rPr>
                <w:rFonts w:asciiTheme="minorEastAsia" w:hAnsiTheme="minorEastAsia" w:cstheme="minorEastAsia"/>
                <w:color w:val="auto"/>
                <w:sz w:val="30"/>
                <w:szCs w:val="30"/>
              </w:rPr>
            </w:pPr>
            <w:r>
              <w:rPr>
                <w:rFonts w:hint="eastAsia" w:asciiTheme="minorEastAsia" w:hAnsiTheme="minorEastAsia" w:cstheme="minorEastAsia"/>
                <w:color w:val="auto"/>
                <w:kern w:val="0"/>
                <w:sz w:val="30"/>
                <w:szCs w:val="30"/>
              </w:rPr>
              <w:t>分枝结薯期</w:t>
            </w:r>
          </w:p>
        </w:tc>
        <w:tc>
          <w:tcPr>
            <w:tcW w:w="3372" w:type="dxa"/>
            <w:tcBorders>
              <w:bottom w:val="single" w:color="auto" w:sz="6" w:space="0"/>
              <w:right w:val="single" w:color="auto" w:sz="6" w:space="0"/>
            </w:tcBorders>
            <w:shd w:val="clear" w:color="auto" w:fill="auto"/>
            <w:tcMar>
              <w:top w:w="158" w:type="dxa"/>
              <w:left w:w="240" w:type="dxa"/>
              <w:bottom w:w="158" w:type="dxa"/>
              <w:right w:w="240" w:type="dxa"/>
            </w:tcMar>
            <w:vAlign w:val="center"/>
          </w:tcPr>
          <w:p>
            <w:pPr>
              <w:widowControl/>
              <w:spacing w:line="520" w:lineRule="exact"/>
              <w:jc w:val="left"/>
              <w:rPr>
                <w:rFonts w:asciiTheme="minorEastAsia" w:hAnsiTheme="minorEastAsia" w:cstheme="minorEastAsia"/>
                <w:color w:val="auto"/>
                <w:sz w:val="30"/>
                <w:szCs w:val="30"/>
              </w:rPr>
            </w:pPr>
            <w:r>
              <w:rPr>
                <w:rFonts w:hint="eastAsia" w:asciiTheme="minorEastAsia" w:hAnsiTheme="minorEastAsia" w:cstheme="minorEastAsia"/>
                <w:color w:val="auto"/>
                <w:kern w:val="0"/>
                <w:sz w:val="30"/>
                <w:szCs w:val="30"/>
              </w:rPr>
              <w:t>需氮量高，促茎叶生长</w:t>
            </w:r>
          </w:p>
        </w:tc>
        <w:tc>
          <w:tcPr>
            <w:tcW w:w="3360" w:type="dxa"/>
            <w:tcBorders>
              <w:bottom w:val="single" w:color="auto" w:sz="6" w:space="0"/>
              <w:right w:val="single" w:color="auto" w:sz="6" w:space="0"/>
            </w:tcBorders>
            <w:shd w:val="clear" w:color="auto" w:fill="auto"/>
            <w:tcMar>
              <w:top w:w="158" w:type="dxa"/>
              <w:left w:w="240" w:type="dxa"/>
              <w:bottom w:w="158" w:type="dxa"/>
              <w:right w:w="240" w:type="dxa"/>
            </w:tcMar>
            <w:vAlign w:val="center"/>
          </w:tcPr>
          <w:p>
            <w:pPr>
              <w:widowControl/>
              <w:spacing w:line="520" w:lineRule="exact"/>
              <w:jc w:val="left"/>
              <w:rPr>
                <w:rFonts w:asciiTheme="minorEastAsia" w:hAnsiTheme="minorEastAsia" w:cstheme="minorEastAsia"/>
                <w:color w:val="auto"/>
                <w:sz w:val="30"/>
                <w:szCs w:val="30"/>
              </w:rPr>
            </w:pPr>
            <w:r>
              <w:rPr>
                <w:rFonts w:hint="eastAsia" w:asciiTheme="minorEastAsia" w:hAnsiTheme="minorEastAsia" w:cstheme="minorEastAsia"/>
                <w:color w:val="auto"/>
                <w:kern w:val="0"/>
                <w:sz w:val="30"/>
                <w:szCs w:val="30"/>
              </w:rPr>
              <w:t>追施氮肥为主，配合磷钾肥</w:t>
            </w:r>
          </w:p>
        </w:tc>
      </w:tr>
      <w:tr>
        <w:tblPrEx>
          <w:tblCellMar>
            <w:top w:w="0" w:type="dxa"/>
            <w:left w:w="0" w:type="dxa"/>
            <w:bottom w:w="0" w:type="dxa"/>
            <w:right w:w="0" w:type="dxa"/>
          </w:tblCellMar>
        </w:tblPrEx>
        <w:trPr>
          <w:tblCellSpacing w:w="15" w:type="dxa"/>
          <w:jc w:val="center"/>
        </w:trPr>
        <w:tc>
          <w:tcPr>
            <w:tcW w:w="2068" w:type="dxa"/>
            <w:tcBorders>
              <w:left w:val="single" w:color="auto" w:sz="6" w:space="0"/>
              <w:bottom w:val="single" w:color="auto" w:sz="6" w:space="0"/>
              <w:right w:val="single" w:color="auto" w:sz="6" w:space="0"/>
            </w:tcBorders>
            <w:shd w:val="clear" w:color="auto" w:fill="auto"/>
            <w:tcMar>
              <w:top w:w="158" w:type="dxa"/>
              <w:left w:w="240" w:type="dxa"/>
              <w:bottom w:w="158" w:type="dxa"/>
              <w:right w:w="240" w:type="dxa"/>
            </w:tcMar>
            <w:vAlign w:val="center"/>
          </w:tcPr>
          <w:p>
            <w:pPr>
              <w:widowControl/>
              <w:spacing w:line="520" w:lineRule="exact"/>
              <w:jc w:val="left"/>
              <w:rPr>
                <w:rFonts w:asciiTheme="minorEastAsia" w:hAnsiTheme="minorEastAsia" w:cstheme="minorEastAsia"/>
                <w:color w:val="auto"/>
                <w:sz w:val="30"/>
                <w:szCs w:val="30"/>
              </w:rPr>
            </w:pPr>
            <w:r>
              <w:rPr>
                <w:rFonts w:hint="eastAsia" w:asciiTheme="minorEastAsia" w:hAnsiTheme="minorEastAsia" w:cstheme="minorEastAsia"/>
                <w:color w:val="auto"/>
                <w:kern w:val="0"/>
                <w:sz w:val="30"/>
                <w:szCs w:val="30"/>
              </w:rPr>
              <w:t>薯块膨大期</w:t>
            </w:r>
          </w:p>
        </w:tc>
        <w:tc>
          <w:tcPr>
            <w:tcW w:w="3372" w:type="dxa"/>
            <w:tcBorders>
              <w:bottom w:val="single" w:color="auto" w:sz="6" w:space="0"/>
              <w:right w:val="single" w:color="auto" w:sz="6" w:space="0"/>
            </w:tcBorders>
            <w:shd w:val="clear" w:color="auto" w:fill="auto"/>
            <w:tcMar>
              <w:top w:w="158" w:type="dxa"/>
              <w:left w:w="240" w:type="dxa"/>
              <w:bottom w:w="158" w:type="dxa"/>
              <w:right w:w="240" w:type="dxa"/>
            </w:tcMar>
            <w:vAlign w:val="center"/>
          </w:tcPr>
          <w:p>
            <w:pPr>
              <w:widowControl/>
              <w:spacing w:line="520" w:lineRule="exact"/>
              <w:jc w:val="left"/>
              <w:rPr>
                <w:rFonts w:asciiTheme="minorEastAsia" w:hAnsiTheme="minorEastAsia" w:cstheme="minorEastAsia"/>
                <w:color w:val="auto"/>
                <w:sz w:val="30"/>
                <w:szCs w:val="30"/>
              </w:rPr>
            </w:pPr>
            <w:r>
              <w:rPr>
                <w:rFonts w:hint="eastAsia" w:asciiTheme="minorEastAsia" w:hAnsiTheme="minorEastAsia" w:cstheme="minorEastAsia"/>
                <w:color w:val="auto"/>
                <w:kern w:val="0"/>
                <w:sz w:val="30"/>
                <w:szCs w:val="30"/>
              </w:rPr>
              <w:t>需钾量骤增（占总量40%-50%）</w:t>
            </w:r>
          </w:p>
        </w:tc>
        <w:tc>
          <w:tcPr>
            <w:tcW w:w="3360" w:type="dxa"/>
            <w:tcBorders>
              <w:bottom w:val="single" w:color="auto" w:sz="6" w:space="0"/>
              <w:right w:val="single" w:color="auto" w:sz="6" w:space="0"/>
            </w:tcBorders>
            <w:shd w:val="clear" w:color="auto" w:fill="auto"/>
            <w:tcMar>
              <w:top w:w="158" w:type="dxa"/>
              <w:left w:w="240" w:type="dxa"/>
              <w:bottom w:w="158" w:type="dxa"/>
              <w:right w:w="240" w:type="dxa"/>
            </w:tcMar>
            <w:vAlign w:val="center"/>
          </w:tcPr>
          <w:p>
            <w:pPr>
              <w:widowControl/>
              <w:spacing w:line="520" w:lineRule="exact"/>
              <w:jc w:val="left"/>
              <w:rPr>
                <w:rFonts w:asciiTheme="minorEastAsia" w:hAnsiTheme="minorEastAsia" w:cstheme="minorEastAsia"/>
                <w:color w:val="auto"/>
                <w:sz w:val="30"/>
                <w:szCs w:val="30"/>
              </w:rPr>
            </w:pPr>
            <w:r>
              <w:rPr>
                <w:rFonts w:hint="eastAsia" w:asciiTheme="minorEastAsia" w:hAnsiTheme="minorEastAsia" w:cstheme="minorEastAsia"/>
                <w:color w:val="auto"/>
                <w:kern w:val="0"/>
                <w:sz w:val="30"/>
                <w:szCs w:val="30"/>
              </w:rPr>
              <w:t>减少氮肥，增施钾肥防徒长</w:t>
            </w:r>
          </w:p>
        </w:tc>
      </w:tr>
    </w:tbl>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2.‌灌溉调控‌</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2.1伸蔓期：保持土壤湿度60%-70%，滴灌量15-20m³/亩；</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2.2膨大期：需水关键期，滴灌量25-30m³/亩，避免土壤忽干忽湿。</w:t>
      </w:r>
    </w:p>
    <w:p>
      <w:pPr>
        <w:pStyle w:val="2"/>
        <w:ind w:left="0" w:leftChars="0" w:firstLine="642"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十、关键操作规范</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1.‌栽插方式‌</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1.1采用薯苗平插法，增加结薯数量，提升商品率。</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2.‌智能控制‌</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2.1设置夜间减氮程序，抑制茎叶徒长；</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2.2通过手机App远程监控pH/EC值，调整灌溉策略。</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3.‌病虫害防控‌</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3.1结合水肥药一体化系统，按《GB/T8321农药合理使用准则》注入低毒农药，防控黑斑病、茎线虫病。</w:t>
      </w:r>
    </w:p>
    <w:p>
      <w:pPr>
        <w:pStyle w:val="2"/>
        <w:ind w:left="0" w:leftChars="0" w:firstLine="642"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十一、效益分析</w:t>
      </w:r>
    </w:p>
    <w:tbl>
      <w:tblPr>
        <w:tblStyle w:val="6"/>
        <w:tblW w:w="8920" w:type="dxa"/>
        <w:jc w:val="center"/>
        <w:tblCellSpacing w:w="15" w:type="dxa"/>
        <w:tblLayout w:type="fixed"/>
        <w:tblCellMar>
          <w:top w:w="0" w:type="dxa"/>
          <w:left w:w="0" w:type="dxa"/>
          <w:bottom w:w="0" w:type="dxa"/>
          <w:right w:w="0" w:type="dxa"/>
        </w:tblCellMar>
      </w:tblPr>
      <w:tblGrid>
        <w:gridCol w:w="2113"/>
        <w:gridCol w:w="3402"/>
        <w:gridCol w:w="3405"/>
      </w:tblGrid>
      <w:tr>
        <w:tblPrEx>
          <w:tblCellMar>
            <w:top w:w="0" w:type="dxa"/>
            <w:left w:w="0" w:type="dxa"/>
            <w:bottom w:w="0" w:type="dxa"/>
            <w:right w:w="0" w:type="dxa"/>
          </w:tblCellMar>
        </w:tblPrEx>
        <w:trPr>
          <w:tblHeader/>
          <w:tblCellSpacing w:w="15" w:type="dxa"/>
          <w:jc w:val="center"/>
        </w:trPr>
        <w:tc>
          <w:tcPr>
            <w:tcW w:w="2068" w:type="dxa"/>
            <w:tcBorders>
              <w:top w:val="single" w:color="auto" w:sz="6" w:space="0"/>
              <w:left w:val="single" w:color="auto" w:sz="6" w:space="0"/>
              <w:bottom w:val="single" w:color="auto" w:sz="6" w:space="0"/>
              <w:right w:val="single" w:color="auto" w:sz="6" w:space="0"/>
            </w:tcBorders>
            <w:shd w:val="clear" w:color="auto" w:fill="auto"/>
            <w:noWrap/>
            <w:tcMar>
              <w:top w:w="158" w:type="dxa"/>
              <w:left w:w="240" w:type="dxa"/>
              <w:bottom w:w="113" w:type="dxa"/>
              <w:right w:w="240" w:type="dxa"/>
            </w:tcMar>
            <w:vAlign w:val="center"/>
          </w:tcPr>
          <w:p>
            <w:pPr>
              <w:widowControl/>
              <w:spacing w:line="520" w:lineRule="exact"/>
              <w:jc w:val="left"/>
              <w:rPr>
                <w:rFonts w:asciiTheme="minorEastAsia" w:hAnsiTheme="minorEastAsia" w:cstheme="minorEastAsia"/>
                <w:b/>
                <w:bCs/>
                <w:color w:val="auto"/>
                <w:sz w:val="30"/>
                <w:szCs w:val="30"/>
              </w:rPr>
            </w:pPr>
            <w:r>
              <w:rPr>
                <w:rFonts w:hint="eastAsia" w:asciiTheme="minorEastAsia" w:hAnsiTheme="minorEastAsia" w:cstheme="minorEastAsia"/>
                <w:b/>
                <w:bCs/>
                <w:color w:val="auto"/>
                <w:kern w:val="0"/>
                <w:sz w:val="30"/>
                <w:szCs w:val="30"/>
              </w:rPr>
              <w:t>生长阶段</w:t>
            </w:r>
          </w:p>
        </w:tc>
        <w:tc>
          <w:tcPr>
            <w:tcW w:w="3372" w:type="dxa"/>
            <w:tcBorders>
              <w:top w:val="single" w:color="auto" w:sz="6" w:space="0"/>
              <w:bottom w:val="single" w:color="auto" w:sz="6" w:space="0"/>
              <w:right w:val="single" w:color="auto" w:sz="6" w:space="0"/>
            </w:tcBorders>
            <w:shd w:val="clear" w:color="auto" w:fill="auto"/>
            <w:noWrap/>
            <w:tcMar>
              <w:top w:w="158" w:type="dxa"/>
              <w:left w:w="240" w:type="dxa"/>
              <w:bottom w:w="113" w:type="dxa"/>
              <w:right w:w="240" w:type="dxa"/>
            </w:tcMar>
            <w:vAlign w:val="center"/>
          </w:tcPr>
          <w:p>
            <w:pPr>
              <w:widowControl/>
              <w:spacing w:line="520" w:lineRule="exact"/>
              <w:ind w:firstLine="602" w:firstLineChars="200"/>
              <w:jc w:val="left"/>
              <w:rPr>
                <w:rFonts w:asciiTheme="minorEastAsia" w:hAnsiTheme="minorEastAsia" w:cstheme="minorEastAsia"/>
                <w:b/>
                <w:bCs/>
                <w:color w:val="auto"/>
                <w:sz w:val="30"/>
                <w:szCs w:val="30"/>
              </w:rPr>
            </w:pPr>
            <w:r>
              <w:rPr>
                <w:rFonts w:hint="eastAsia" w:asciiTheme="minorEastAsia" w:hAnsiTheme="minorEastAsia" w:cstheme="minorEastAsia"/>
                <w:b/>
                <w:bCs/>
                <w:color w:val="auto"/>
                <w:kern w:val="0"/>
                <w:sz w:val="30"/>
                <w:szCs w:val="30"/>
              </w:rPr>
              <w:t>养分需求</w:t>
            </w:r>
          </w:p>
        </w:tc>
        <w:tc>
          <w:tcPr>
            <w:tcW w:w="3360" w:type="dxa"/>
            <w:tcBorders>
              <w:top w:val="single" w:color="auto" w:sz="6" w:space="0"/>
              <w:bottom w:val="single" w:color="auto" w:sz="6" w:space="0"/>
              <w:right w:val="single" w:color="auto" w:sz="6" w:space="0"/>
            </w:tcBorders>
            <w:shd w:val="clear" w:color="auto" w:fill="auto"/>
            <w:noWrap/>
            <w:tcMar>
              <w:top w:w="158" w:type="dxa"/>
              <w:left w:w="240" w:type="dxa"/>
              <w:bottom w:w="113" w:type="dxa"/>
              <w:right w:w="240" w:type="dxa"/>
            </w:tcMar>
            <w:vAlign w:val="center"/>
          </w:tcPr>
          <w:p>
            <w:pPr>
              <w:widowControl/>
              <w:spacing w:line="520" w:lineRule="exact"/>
              <w:ind w:firstLine="602" w:firstLineChars="200"/>
              <w:jc w:val="left"/>
              <w:rPr>
                <w:rFonts w:asciiTheme="minorEastAsia" w:hAnsiTheme="minorEastAsia" w:cstheme="minorEastAsia"/>
                <w:b/>
                <w:bCs/>
                <w:color w:val="auto"/>
                <w:sz w:val="30"/>
                <w:szCs w:val="30"/>
              </w:rPr>
            </w:pPr>
            <w:r>
              <w:rPr>
                <w:rFonts w:hint="eastAsia" w:asciiTheme="minorEastAsia" w:hAnsiTheme="minorEastAsia" w:cstheme="minorEastAsia"/>
                <w:b/>
                <w:bCs/>
                <w:color w:val="auto"/>
                <w:kern w:val="0"/>
                <w:sz w:val="30"/>
                <w:szCs w:val="30"/>
              </w:rPr>
              <w:t>操作要点</w:t>
            </w:r>
          </w:p>
        </w:tc>
      </w:tr>
      <w:tr>
        <w:tblPrEx>
          <w:tblCellMar>
            <w:top w:w="0" w:type="dxa"/>
            <w:left w:w="0" w:type="dxa"/>
            <w:bottom w:w="0" w:type="dxa"/>
            <w:right w:w="0" w:type="dxa"/>
          </w:tblCellMar>
        </w:tblPrEx>
        <w:trPr>
          <w:tblCellSpacing w:w="15" w:type="dxa"/>
          <w:jc w:val="center"/>
        </w:trPr>
        <w:tc>
          <w:tcPr>
            <w:tcW w:w="2068" w:type="dxa"/>
            <w:tcBorders>
              <w:left w:val="single" w:color="auto" w:sz="6" w:space="0"/>
              <w:bottom w:val="single" w:color="auto" w:sz="6" w:space="0"/>
              <w:right w:val="single" w:color="auto" w:sz="6" w:space="0"/>
            </w:tcBorders>
            <w:shd w:val="clear" w:color="auto" w:fill="auto"/>
            <w:tcMar>
              <w:top w:w="158" w:type="dxa"/>
              <w:left w:w="240" w:type="dxa"/>
              <w:bottom w:w="158" w:type="dxa"/>
              <w:right w:w="240" w:type="dxa"/>
            </w:tcMar>
            <w:vAlign w:val="center"/>
          </w:tcPr>
          <w:p>
            <w:pPr>
              <w:widowControl/>
              <w:spacing w:line="520" w:lineRule="exact"/>
              <w:jc w:val="left"/>
              <w:rPr>
                <w:rFonts w:asciiTheme="minorEastAsia" w:hAnsiTheme="minorEastAsia" w:cstheme="minorEastAsia"/>
                <w:color w:val="auto"/>
                <w:sz w:val="30"/>
                <w:szCs w:val="30"/>
              </w:rPr>
            </w:pPr>
            <w:r>
              <w:rPr>
                <w:rFonts w:hint="eastAsia" w:asciiTheme="minorEastAsia" w:hAnsiTheme="minorEastAsia" w:cstheme="minorEastAsia"/>
                <w:color w:val="auto"/>
                <w:kern w:val="0"/>
                <w:sz w:val="30"/>
                <w:szCs w:val="30"/>
              </w:rPr>
              <w:t>分枝结薯期</w:t>
            </w:r>
          </w:p>
        </w:tc>
        <w:tc>
          <w:tcPr>
            <w:tcW w:w="3372" w:type="dxa"/>
            <w:tcBorders>
              <w:bottom w:val="single" w:color="auto" w:sz="6" w:space="0"/>
              <w:right w:val="single" w:color="auto" w:sz="6" w:space="0"/>
            </w:tcBorders>
            <w:shd w:val="clear" w:color="auto" w:fill="auto"/>
            <w:tcMar>
              <w:top w:w="158" w:type="dxa"/>
              <w:left w:w="240" w:type="dxa"/>
              <w:bottom w:w="158" w:type="dxa"/>
              <w:right w:w="240" w:type="dxa"/>
            </w:tcMar>
            <w:vAlign w:val="center"/>
          </w:tcPr>
          <w:p>
            <w:pPr>
              <w:widowControl/>
              <w:spacing w:line="520" w:lineRule="exact"/>
              <w:jc w:val="left"/>
              <w:rPr>
                <w:rFonts w:asciiTheme="minorEastAsia" w:hAnsiTheme="minorEastAsia" w:cstheme="minorEastAsia"/>
                <w:color w:val="auto"/>
                <w:sz w:val="30"/>
                <w:szCs w:val="30"/>
              </w:rPr>
            </w:pPr>
            <w:r>
              <w:rPr>
                <w:rFonts w:hint="eastAsia" w:asciiTheme="minorEastAsia" w:hAnsiTheme="minorEastAsia" w:cstheme="minorEastAsia"/>
                <w:color w:val="auto"/>
                <w:kern w:val="0"/>
                <w:sz w:val="30"/>
                <w:szCs w:val="30"/>
              </w:rPr>
              <w:t>需氮量高，促茎叶生长</w:t>
            </w:r>
          </w:p>
        </w:tc>
        <w:tc>
          <w:tcPr>
            <w:tcW w:w="3360" w:type="dxa"/>
            <w:tcBorders>
              <w:bottom w:val="single" w:color="auto" w:sz="6" w:space="0"/>
              <w:right w:val="single" w:color="auto" w:sz="6" w:space="0"/>
            </w:tcBorders>
            <w:shd w:val="clear" w:color="auto" w:fill="auto"/>
            <w:tcMar>
              <w:top w:w="158" w:type="dxa"/>
              <w:left w:w="240" w:type="dxa"/>
              <w:bottom w:w="158" w:type="dxa"/>
              <w:right w:w="240" w:type="dxa"/>
            </w:tcMar>
            <w:vAlign w:val="center"/>
          </w:tcPr>
          <w:p>
            <w:pPr>
              <w:widowControl/>
              <w:spacing w:line="520" w:lineRule="exact"/>
              <w:jc w:val="left"/>
              <w:rPr>
                <w:rFonts w:asciiTheme="minorEastAsia" w:hAnsiTheme="minorEastAsia" w:cstheme="minorEastAsia"/>
                <w:color w:val="auto"/>
                <w:sz w:val="30"/>
                <w:szCs w:val="30"/>
              </w:rPr>
            </w:pPr>
            <w:r>
              <w:rPr>
                <w:rFonts w:hint="eastAsia" w:asciiTheme="minorEastAsia" w:hAnsiTheme="minorEastAsia" w:cstheme="minorEastAsia"/>
                <w:color w:val="auto"/>
                <w:kern w:val="0"/>
                <w:sz w:val="30"/>
                <w:szCs w:val="30"/>
              </w:rPr>
              <w:t>追施氮肥为主，配合磷钾肥</w:t>
            </w:r>
          </w:p>
        </w:tc>
      </w:tr>
      <w:tr>
        <w:tblPrEx>
          <w:tblCellMar>
            <w:top w:w="0" w:type="dxa"/>
            <w:left w:w="0" w:type="dxa"/>
            <w:bottom w:w="0" w:type="dxa"/>
            <w:right w:w="0" w:type="dxa"/>
          </w:tblCellMar>
        </w:tblPrEx>
        <w:trPr>
          <w:tblCellSpacing w:w="15" w:type="dxa"/>
          <w:jc w:val="center"/>
        </w:trPr>
        <w:tc>
          <w:tcPr>
            <w:tcW w:w="2068" w:type="dxa"/>
            <w:tcBorders>
              <w:left w:val="single" w:color="auto" w:sz="6" w:space="0"/>
              <w:bottom w:val="single" w:color="auto" w:sz="6" w:space="0"/>
              <w:right w:val="single" w:color="auto" w:sz="6" w:space="0"/>
            </w:tcBorders>
            <w:shd w:val="clear" w:color="auto" w:fill="auto"/>
            <w:tcMar>
              <w:top w:w="158" w:type="dxa"/>
              <w:left w:w="240" w:type="dxa"/>
              <w:bottom w:w="158" w:type="dxa"/>
              <w:right w:w="240" w:type="dxa"/>
            </w:tcMar>
            <w:vAlign w:val="center"/>
          </w:tcPr>
          <w:p>
            <w:pPr>
              <w:widowControl/>
              <w:spacing w:line="520" w:lineRule="exact"/>
              <w:jc w:val="left"/>
              <w:rPr>
                <w:rFonts w:asciiTheme="minorEastAsia" w:hAnsiTheme="minorEastAsia" w:cstheme="minorEastAsia"/>
                <w:color w:val="auto"/>
                <w:sz w:val="30"/>
                <w:szCs w:val="30"/>
              </w:rPr>
            </w:pPr>
            <w:r>
              <w:rPr>
                <w:rFonts w:hint="eastAsia" w:asciiTheme="minorEastAsia" w:hAnsiTheme="minorEastAsia" w:cstheme="minorEastAsia"/>
                <w:color w:val="auto"/>
                <w:kern w:val="0"/>
                <w:sz w:val="30"/>
                <w:szCs w:val="30"/>
              </w:rPr>
              <w:t>薯块膨大期</w:t>
            </w:r>
          </w:p>
        </w:tc>
        <w:tc>
          <w:tcPr>
            <w:tcW w:w="3372" w:type="dxa"/>
            <w:tcBorders>
              <w:bottom w:val="single" w:color="auto" w:sz="6" w:space="0"/>
              <w:right w:val="single" w:color="auto" w:sz="6" w:space="0"/>
            </w:tcBorders>
            <w:shd w:val="clear" w:color="auto" w:fill="auto"/>
            <w:tcMar>
              <w:top w:w="158" w:type="dxa"/>
              <w:left w:w="240" w:type="dxa"/>
              <w:bottom w:w="158" w:type="dxa"/>
              <w:right w:w="240" w:type="dxa"/>
            </w:tcMar>
            <w:vAlign w:val="center"/>
          </w:tcPr>
          <w:p>
            <w:pPr>
              <w:widowControl/>
              <w:spacing w:line="520" w:lineRule="exact"/>
              <w:jc w:val="left"/>
              <w:rPr>
                <w:rFonts w:asciiTheme="minorEastAsia" w:hAnsiTheme="minorEastAsia" w:cstheme="minorEastAsia"/>
                <w:color w:val="auto"/>
                <w:sz w:val="30"/>
                <w:szCs w:val="30"/>
              </w:rPr>
            </w:pPr>
            <w:r>
              <w:rPr>
                <w:rFonts w:hint="eastAsia" w:asciiTheme="minorEastAsia" w:hAnsiTheme="minorEastAsia" w:cstheme="minorEastAsia"/>
                <w:color w:val="auto"/>
                <w:kern w:val="0"/>
                <w:sz w:val="30"/>
                <w:szCs w:val="30"/>
              </w:rPr>
              <w:t>需钾量骤增（占总量40%-50%）</w:t>
            </w:r>
          </w:p>
        </w:tc>
        <w:tc>
          <w:tcPr>
            <w:tcW w:w="3360" w:type="dxa"/>
            <w:tcBorders>
              <w:bottom w:val="single" w:color="auto" w:sz="6" w:space="0"/>
              <w:right w:val="single" w:color="auto" w:sz="6" w:space="0"/>
            </w:tcBorders>
            <w:shd w:val="clear" w:color="auto" w:fill="auto"/>
            <w:tcMar>
              <w:top w:w="158" w:type="dxa"/>
              <w:left w:w="240" w:type="dxa"/>
              <w:bottom w:w="158" w:type="dxa"/>
              <w:right w:w="240" w:type="dxa"/>
            </w:tcMar>
            <w:vAlign w:val="center"/>
          </w:tcPr>
          <w:p>
            <w:pPr>
              <w:widowControl/>
              <w:spacing w:line="520" w:lineRule="exact"/>
              <w:jc w:val="left"/>
              <w:rPr>
                <w:rFonts w:asciiTheme="minorEastAsia" w:hAnsiTheme="minorEastAsia" w:cstheme="minorEastAsia"/>
                <w:color w:val="auto"/>
                <w:sz w:val="30"/>
                <w:szCs w:val="30"/>
              </w:rPr>
            </w:pPr>
            <w:r>
              <w:rPr>
                <w:rFonts w:hint="eastAsia" w:asciiTheme="minorEastAsia" w:hAnsiTheme="minorEastAsia" w:cstheme="minorEastAsia"/>
                <w:color w:val="auto"/>
                <w:kern w:val="0"/>
                <w:sz w:val="30"/>
                <w:szCs w:val="30"/>
              </w:rPr>
              <w:t>减少氮肥，增施钾肥防徒长</w:t>
            </w:r>
          </w:p>
        </w:tc>
      </w:tr>
    </w:tbl>
    <w:p>
      <w:pPr>
        <w:pStyle w:val="2"/>
        <w:ind w:left="0" w:leftChars="0" w:firstLine="640" w:firstLineChars="200"/>
        <w:rPr>
          <w:rFonts w:hint="eastAsia" w:ascii="仿宋_GB2312" w:hAnsi="仿宋_GB2312" w:eastAsia="仿宋_GB2312" w:cs="仿宋_GB2312"/>
          <w:sz w:val="32"/>
          <w:szCs w:val="32"/>
          <w:lang w:val="en-US" w:eastAsia="zh-CN"/>
        </w:rPr>
      </w:pPr>
    </w:p>
    <w:p>
      <w:pPr>
        <w:pStyle w:val="2"/>
        <w:ind w:left="0" w:leftChars="0" w:firstLine="682" w:firstLineChars="200"/>
        <w:rPr>
          <w:rFonts w:hint="eastAsia" w:ascii="仿宋_GB2312" w:hAnsi="仿宋_GB2312" w:eastAsia="仿宋_GB2312" w:cs="仿宋_GB2312"/>
          <w:b/>
          <w:bCs/>
          <w:sz w:val="34"/>
          <w:szCs w:val="34"/>
          <w:lang w:val="en-US" w:eastAsia="zh-CN"/>
        </w:rPr>
      </w:pPr>
      <w:r>
        <w:rPr>
          <w:rFonts w:hint="eastAsia" w:ascii="仿宋_GB2312" w:hAnsi="仿宋_GB2312" w:eastAsia="仿宋_GB2312" w:cs="仿宋_GB2312"/>
          <w:b/>
          <w:bCs/>
          <w:sz w:val="34"/>
          <w:szCs w:val="34"/>
          <w:lang w:val="en-US" w:eastAsia="zh-CN"/>
        </w:rPr>
        <w:t>6.甘薯病虫害防治技术</w:t>
      </w:r>
    </w:p>
    <w:p>
      <w:pPr>
        <w:pStyle w:val="2"/>
        <w:ind w:left="0" w:leftChars="0" w:firstLine="642"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一、种苗处理</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1.‌种薯消毒‌：选用无病种薯，用50℃温水浸泡15分钟或50%多菌灵800倍液浸种3分钟，预防黑斑病。</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2.‌高剪苗技术‌：剪取头茬嫩苗时保留基部1-2个节位，减少土传病害感染。</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3.‌药剂蘸根‌：移栽前用吡虫啉或毒死蜱微囊悬浮剂配置蘸根液，浸泡苗基部3-5分钟防治地下害虫。</w:t>
      </w:r>
    </w:p>
    <w:p>
      <w:pPr>
        <w:pStyle w:val="2"/>
        <w:ind w:left="0" w:leftChars="0" w:firstLine="642"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二、土壤处理</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1.‌轮作制度‌：与非旋花科作物轮作间隔≥3年，前茬茄科作物地块需休耕1年。</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2.‌土壤消毒‌：</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2.1生石灰消毒：每亩撒50-100kg生石灰深耕，灭杀地下虫卵。</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2.2药剂处理：整地时随水冲施辛硫磷颗粒剂（2kg/亩）防治蛴螬、地老虎。</w:t>
      </w:r>
    </w:p>
    <w:p>
      <w:pPr>
        <w:pStyle w:val="2"/>
        <w:ind w:left="0" w:leftChars="0" w:firstLine="642"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三、生长期防治</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1.‌虫害防治‌：</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1.1物理防治:安装诱捕器诱杀甘薯天蛾、麦蛾、斜纹夜蛾等害虫。</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1.2生物防治:采用植物源农药藜芦碱、苦参碱和生物源农药防治病虫害:使用轮枝菌等生物农药防治线虫病。如‌甘薯天蛾‌，幼虫三龄前用苏云金杆菌500倍液喷雾叶背。</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1.3化学防治:农药品种的选择和使用应符合NYT393的规定。如‌叶螨、粉虱，用联苯菊酯+螺螨酯混合喷雾；‌甘薯叶甲‌，低龄幼虫期用2.5%溴氰菊酯乳油5000倍液喷雾，7天1次连喷2-3次。</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2.‌病害防治‌：</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2.1黑斑病、蔓割病:用50%多菌灵可湿性粉剂800倍-1000倍液，或50%甲基硫菌灵悬浮剂500倍—700倍液浸种苗基部10分钟，随后扦插。</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2.2‌根腐病‌：选用脱毒种苗，发病地块用70%甲基硫菌灵800倍液灌根。</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2.3紫纹羽病:用70%甲基硫菌灵可湿性粉剂800倍液，或用70%代森锰锌可湿性粉剂1.5kg亩。加细土25—40kg浇水后穴施。</w:t>
      </w:r>
    </w:p>
    <w:p>
      <w:pPr>
        <w:pStyle w:val="2"/>
        <w:ind w:left="0" w:leftChars="0" w:firstLine="642"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四、收获与储藏</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1.‌采前处理‌：采收前20天停止浇水，降低薯块含水量。</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2.‌愈伤处理‌：采收后28-30℃环境愈伤4天，促进伤口木栓化。</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3.‌窖藏管理‌：</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3.1保持窖温12-14℃，湿度85%-90%，每月翻检剔除病薯。</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3.2窖藏定期清洁消毒。</w:t>
      </w:r>
    </w:p>
    <w:p>
      <w:pPr>
        <w:pStyle w:val="2"/>
        <w:ind w:left="0" w:leftChars="0" w:firstLine="642"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五、注意事项</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1.化学防治需轮换用药，如防治叶螨可交替使用阿维菌素、联苯菊酯等。</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2.控旺管理：藤蔓80cm时提蔓（禁止翻蔓），膨大期喷施0.3%磷酸二氢钾防早衰。</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3、生物防治优先，保护草蛉、捕食螨等天敌。</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附：关键药剂参考表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jc w:val="center"/>
        </w:trPr>
        <w:tc>
          <w:tcPr>
            <w:tcW w:w="2840" w:type="dxa"/>
            <w:vAlign w:val="center"/>
          </w:tcPr>
          <w:p>
            <w:pPr>
              <w:pStyle w:val="5"/>
              <w:widowControl/>
              <w:spacing w:line="52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防治对象</w:t>
            </w:r>
          </w:p>
        </w:tc>
        <w:tc>
          <w:tcPr>
            <w:tcW w:w="2841" w:type="dxa"/>
            <w:vAlign w:val="center"/>
          </w:tcPr>
          <w:p>
            <w:pPr>
              <w:pStyle w:val="5"/>
              <w:widowControl/>
              <w:spacing w:line="52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推荐药剂</w:t>
            </w:r>
          </w:p>
        </w:tc>
        <w:tc>
          <w:tcPr>
            <w:tcW w:w="2841" w:type="dxa"/>
            <w:vAlign w:val="center"/>
          </w:tcPr>
          <w:p>
            <w:pPr>
              <w:pStyle w:val="5"/>
              <w:widowControl/>
              <w:spacing w:line="52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使用浓度/方法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jc w:val="center"/>
        </w:trPr>
        <w:tc>
          <w:tcPr>
            <w:tcW w:w="2840" w:type="dxa"/>
            <w:vAlign w:val="center"/>
          </w:tcPr>
          <w:p>
            <w:pPr>
              <w:pStyle w:val="5"/>
              <w:widowControl/>
              <w:spacing w:line="52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地下害虫</w:t>
            </w:r>
          </w:p>
        </w:tc>
        <w:tc>
          <w:tcPr>
            <w:tcW w:w="2841" w:type="dxa"/>
            <w:vAlign w:val="center"/>
          </w:tcPr>
          <w:p>
            <w:pPr>
              <w:pStyle w:val="5"/>
              <w:widowControl/>
              <w:spacing w:line="52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辛硫磷颗粒剂</w:t>
            </w:r>
          </w:p>
        </w:tc>
        <w:tc>
          <w:tcPr>
            <w:tcW w:w="2841" w:type="dxa"/>
            <w:vAlign w:val="center"/>
          </w:tcPr>
          <w:p>
            <w:pPr>
              <w:pStyle w:val="5"/>
              <w:widowControl/>
              <w:spacing w:line="52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2kg/亩拌基肥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jc w:val="center"/>
        </w:trPr>
        <w:tc>
          <w:tcPr>
            <w:tcW w:w="2840" w:type="dxa"/>
            <w:vAlign w:val="center"/>
          </w:tcPr>
          <w:p>
            <w:pPr>
              <w:pStyle w:val="5"/>
              <w:widowControl/>
              <w:spacing w:line="52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疮痂病</w:t>
            </w:r>
          </w:p>
        </w:tc>
        <w:tc>
          <w:tcPr>
            <w:tcW w:w="2841" w:type="dxa"/>
            <w:vAlign w:val="center"/>
          </w:tcPr>
          <w:p>
            <w:pPr>
              <w:pStyle w:val="5"/>
              <w:widowControl/>
              <w:spacing w:line="52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代森锰锌</w:t>
            </w:r>
          </w:p>
        </w:tc>
        <w:tc>
          <w:tcPr>
            <w:tcW w:w="2841" w:type="dxa"/>
            <w:vAlign w:val="center"/>
          </w:tcPr>
          <w:p>
            <w:pPr>
              <w:pStyle w:val="5"/>
              <w:widowControl/>
              <w:spacing w:line="52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600倍液喷雾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jc w:val="center"/>
        </w:trPr>
        <w:tc>
          <w:tcPr>
            <w:tcW w:w="2840" w:type="dxa"/>
            <w:vAlign w:val="center"/>
          </w:tcPr>
          <w:p>
            <w:pPr>
              <w:pStyle w:val="5"/>
              <w:widowControl/>
              <w:spacing w:line="52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病毒病</w:t>
            </w:r>
          </w:p>
        </w:tc>
        <w:tc>
          <w:tcPr>
            <w:tcW w:w="2841" w:type="dxa"/>
            <w:vAlign w:val="center"/>
          </w:tcPr>
          <w:p>
            <w:pPr>
              <w:pStyle w:val="5"/>
              <w:widowControl/>
              <w:spacing w:line="52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拔除病株</w:t>
            </w:r>
          </w:p>
        </w:tc>
        <w:tc>
          <w:tcPr>
            <w:tcW w:w="2841" w:type="dxa"/>
            <w:vAlign w:val="center"/>
          </w:tcPr>
          <w:p>
            <w:pPr>
              <w:pStyle w:val="5"/>
              <w:widowControl/>
              <w:spacing w:line="52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及时销毁</w:t>
            </w:r>
          </w:p>
        </w:tc>
      </w:tr>
    </w:tbl>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注：具体用药需符合当地农药使用规范，采收前5天停止用药。</w:t>
      </w:r>
    </w:p>
    <w:p>
      <w:pPr>
        <w:pStyle w:val="2"/>
        <w:ind w:left="0" w:leftChars="0" w:firstLine="640" w:firstLineChars="200"/>
        <w:rPr>
          <w:rFonts w:hint="eastAsia" w:ascii="仿宋_GB2312" w:hAnsi="仿宋_GB2312" w:eastAsia="仿宋_GB2312" w:cs="仿宋_GB2312"/>
          <w:sz w:val="32"/>
          <w:szCs w:val="32"/>
          <w:lang w:val="en-US" w:eastAsia="zh-CN"/>
        </w:rPr>
      </w:pPr>
    </w:p>
    <w:p>
      <w:pPr>
        <w:pStyle w:val="2"/>
        <w:ind w:left="0" w:leftChars="0" w:firstLine="682" w:firstLineChars="200"/>
        <w:rPr>
          <w:rFonts w:hint="eastAsia" w:ascii="仿宋_GB2312" w:hAnsi="仿宋_GB2312" w:eastAsia="仿宋_GB2312" w:cs="仿宋_GB2312"/>
          <w:b/>
          <w:bCs/>
          <w:sz w:val="34"/>
          <w:szCs w:val="34"/>
          <w:lang w:val="en-US" w:eastAsia="zh-CN"/>
        </w:rPr>
      </w:pPr>
      <w:r>
        <w:rPr>
          <w:rFonts w:hint="eastAsia" w:ascii="仿宋_GB2312" w:hAnsi="仿宋_GB2312" w:eastAsia="仿宋_GB2312" w:cs="仿宋_GB2312"/>
          <w:b/>
          <w:bCs/>
          <w:sz w:val="34"/>
          <w:szCs w:val="34"/>
          <w:lang w:val="en-US" w:eastAsia="zh-CN"/>
        </w:rPr>
        <w:t>7.蛋鸡无抗养殖技术技术：</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饲养管理：水质、饲料卫生指标、营养指标等应符合相关标准，饲料中禁止添加抗生素及化学合成类抗微生物药物，可使用功能性饲料添加剂。鸡舍内空气质量应符合要求，采用密闭环境控制鸡舍饲养蛋鸡，合理设置环境参数，固定饲养员，执行饲养操作规程，定期观察鸡群健康状况，淘汰不健康鸡只，采用全进全出制度。</w:t>
      </w:r>
    </w:p>
    <w:p>
      <w:pPr>
        <w:pStyle w:val="2"/>
        <w:ind w:left="0" w:leftChars="0" w:firstLine="682" w:firstLineChars="200"/>
        <w:rPr>
          <w:rFonts w:hint="eastAsia" w:ascii="仿宋_GB2312" w:hAnsi="仿宋_GB2312" w:eastAsia="仿宋_GB2312" w:cs="仿宋_GB2312"/>
          <w:b/>
          <w:bCs/>
          <w:sz w:val="34"/>
          <w:szCs w:val="34"/>
          <w:lang w:val="en-US" w:eastAsia="zh-CN"/>
        </w:rPr>
      </w:pPr>
      <w:r>
        <w:rPr>
          <w:rFonts w:hint="eastAsia" w:ascii="仿宋_GB2312" w:hAnsi="仿宋_GB2312" w:eastAsia="仿宋_GB2312" w:cs="仿宋_GB2312"/>
          <w:b/>
          <w:bCs/>
          <w:sz w:val="34"/>
          <w:szCs w:val="34"/>
          <w:lang w:val="en-US" w:eastAsia="zh-CN"/>
        </w:rPr>
        <w:t>8.母猪精细化饲养管理技术：</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(一)母猪选留：母猪使用胎次不超过8胎;及时淘汰患病及生产性能差的个体。</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(二)精细化饲养：后备母猪精细化饲养；空怀母猪精细化饲养；妊娠母猪：妊娠前期(0~30日龄)，妊娠中期(31日龄~85日龄)，妊娠后期(&gt;85日龄)精细化饲养；哺乳母猪精细化饲养。</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(三)精细化管理：</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后备母猪精细化管理；空怀母猪精细化管理；妊娠母猪精细化管理；哺乳母猪精细化管理。</w:t>
      </w:r>
    </w:p>
    <w:p>
      <w:pPr>
        <w:pStyle w:val="2"/>
        <w:ind w:left="0" w:leftChars="0" w:firstLine="682" w:firstLineChars="200"/>
        <w:rPr>
          <w:rFonts w:hint="eastAsia" w:ascii="仿宋_GB2312" w:hAnsi="仿宋_GB2312" w:eastAsia="仿宋_GB2312" w:cs="仿宋_GB2312"/>
          <w:b/>
          <w:bCs/>
          <w:sz w:val="34"/>
          <w:szCs w:val="34"/>
          <w:lang w:val="en-US" w:eastAsia="zh-CN"/>
        </w:rPr>
      </w:pPr>
      <w:r>
        <w:rPr>
          <w:rFonts w:hint="eastAsia" w:ascii="仿宋_GB2312" w:hAnsi="仿宋_GB2312" w:eastAsia="仿宋_GB2312" w:cs="仿宋_GB2312"/>
          <w:b/>
          <w:bCs/>
          <w:sz w:val="34"/>
          <w:szCs w:val="34"/>
          <w:lang w:val="en-US" w:eastAsia="zh-CN"/>
        </w:rPr>
        <w:t>9.淡水养殖尾水生态处理技术：</w:t>
      </w:r>
    </w:p>
    <w:p>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采用尾水生态治理、关键节点水质控制,一级提升动力循环净化,以及鱼虾互补养护的设计思路,通过生态链的构建,形成“孵化车间→养殖车间→室内净化池→虾塘→分割坝→曝气→生态浮床→立体植物净化→升流填料净化→生态沟→紫外消杀→提水池→高位水箱→孵化车间”的封闭循环系统,延伸水产养殖产业链条,构建环境友好型养殖模式。</w:t>
      </w:r>
    </w:p>
    <w:p>
      <w:pPr>
        <w:pStyle w:val="2"/>
        <w:ind w:left="0" w:leftChars="0" w:firstLine="640" w:firstLineChars="200"/>
        <w:rPr>
          <w:rFonts w:hint="default" w:ascii="仿宋_GB2312" w:hAnsi="仿宋_GB2312" w:eastAsia="仿宋_GB2312" w:cs="仿宋_GB2312"/>
          <w:sz w:val="32"/>
          <w:szCs w:val="32"/>
          <w:lang w:val="en-US" w:eastAsia="zh-CN"/>
        </w:rPr>
      </w:pPr>
    </w:p>
    <w:p>
      <w:pPr>
        <w:pStyle w:val="2"/>
        <w:ind w:left="0" w:leftChars="0" w:firstLine="640" w:firstLineChars="200"/>
        <w:rPr>
          <w:rFonts w:hint="eastAsia" w:ascii="仿宋_GB2312" w:hAnsi="仿宋_GB2312" w:eastAsia="仿宋_GB2312" w:cs="仿宋_GB2312"/>
          <w:sz w:val="32"/>
          <w:szCs w:val="32"/>
          <w:lang w:val="en-US" w:eastAsia="zh-CN"/>
        </w:rPr>
      </w:pPr>
    </w:p>
    <w:p>
      <w:pPr>
        <w:pStyle w:val="2"/>
        <w:ind w:left="0" w:leftChars="0" w:firstLine="640" w:firstLineChars="200"/>
        <w:rPr>
          <w:rFonts w:hint="default" w:ascii="仿宋_GB2312" w:hAnsi="仿宋_GB2312" w:eastAsia="仿宋_GB2312" w:cs="仿宋_GB2312"/>
          <w:sz w:val="32"/>
          <w:szCs w:val="32"/>
          <w:lang w:val="en-US" w:eastAsia="zh-CN"/>
        </w:rPr>
      </w:pPr>
    </w:p>
    <w:sectPr>
      <w:footerReference r:id="rId3" w:type="default"/>
      <w:pgSz w:w="11906" w:h="16838"/>
      <w:pgMar w:top="1701" w:right="1559" w:bottom="1701" w:left="1559"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roid Sans Fallback">
    <w:panose1 w:val="020B0502000000000001"/>
    <w:charset w:val="86"/>
    <w:family w:val="auto"/>
    <w:pitch w:val="default"/>
    <w:sig w:usb0="910002FF" w:usb1="2BDFFCFB" w:usb2="00000036" w:usb3="00000000" w:csb0="203F01FF"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DF2C3B"/>
    <w:rsid w:val="2FDF2C3B"/>
    <w:rsid w:val="477DF456"/>
    <w:rsid w:val="5E7E2495"/>
    <w:rsid w:val="DBFFD1F5"/>
    <w:rsid w:val="E7BE9634"/>
    <w:rsid w:val="FEC949DC"/>
    <w:rsid w:val="FEFF8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theme="minorBidi"/>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pPr>
    <w:rPr>
      <w:rFonts w:ascii="Calibri" w:hAnsi="Calibri" w:eastAsia="宋体" w:cs="Times New Roman"/>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rPr>
      <w:sz w:val="24"/>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2025-07-28T09:18:00Z</dcterms:created>
  <dc:creator>admin</dc:creator>
  <cp:lastModifiedBy>admin</cp:lastModifiedBy>
  <cp:lastPrinted>2025-07-28T09:54:11Z</cp:lastPrinted>
  <dcterms:modified xsi:type="dcterms:W3CDTF">2025-07-28T10:14:54Z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