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  <w:t>年宁河区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eastAsia="zh-CN"/>
        </w:rPr>
        <w:t>人民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  <w:t>政府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eastAsia="zh-CN"/>
        </w:rPr>
        <w:t>办公室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  <w:t>信息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  <w:t>公开工作年度报告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ascii="宋体" w:hAnsi="宋体" w:cs="宋体"/>
          <w:color w:val="333333"/>
          <w:kern w:val="0"/>
          <w:sz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一、总体情况</w:t>
      </w: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2020年，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宁河区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人民政府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办公室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坚持以习近平新时代中国特色社会主义思想为指导，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认真贯彻落实国务院、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政府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及区政府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关于政务公开工作的</w:t>
      </w:r>
      <w:r>
        <w:rPr>
          <w:rFonts w:hint="eastAsia" w:ascii="仿宋_GB2312" w:hAnsi="仿宋_GB2312" w:eastAsia="仿宋_GB2312" w:cs="仿宋_GB2312"/>
          <w:sz w:val="32"/>
          <w:szCs w:val="32"/>
        </w:rPr>
        <w:t>决策部署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围绕区委、区政府中心工作，着力提高政务公开标准化、规范化水平，进一步提升政府工作透明度和政府公信力。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 w:firstLine="640" w:firstLineChars="200"/>
        <w:jc w:val="both"/>
        <w:rPr>
          <w:b w:val="0"/>
          <w:bCs/>
        </w:rPr>
      </w:pPr>
      <w:r>
        <w:rPr>
          <w:rFonts w:ascii="楷体_GB2312" w:eastAsia="楷体_GB2312" w:cs="楷体_GB2312"/>
          <w:b w:val="0"/>
          <w:bCs/>
          <w:color w:val="000000"/>
          <w:kern w:val="32"/>
          <w:sz w:val="32"/>
          <w:szCs w:val="32"/>
          <w:shd w:val="clear" w:fill="FFFFFF"/>
          <w:lang w:val="en-US" w:eastAsia="zh-CN" w:bidi="ar"/>
        </w:rPr>
        <w:t>（一）主动公开方面</w:t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shd w:val="clear" w:fill="FFFFFF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按照《条例》要求，促进政务公开与政府中心工作有机融合，坚持重点聚焦，发布了一系列公众关心的政府信息。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right="0"/>
        <w:jc w:val="both"/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聚焦宁河经济社会发展、优化营商环境、疫情防控、民生保障等方面，及时回应群众关切。聚焦财政预决算、重大建设项目、公共资源配置、社会公益事业建设等重点领域，在门户网站及时公开信息。并针对土地管理、保障性</w:t>
      </w:r>
      <w:r>
        <w:rPr>
          <w:rFonts w:hint="eastAsia" w:asci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住房等热点问题主动公开信息。教育、卫生、生态环境等涉及社会公益事业建设的部门及时发布信息。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围绕统筹推进疫情防控和经济社会发展,全面做好“六稳”“六保”工作，积极拓展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信息发布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广度和深度，通过线上和线下多形式，进行政策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宣传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>，助力复工复产，为坚决打赢疫情防控的人民战争、总体战、阻击战和坚决打好经济平稳健康发展的“组合拳”提供有力支撑和坚实保障。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exact"/>
        <w:ind w:left="0" w:right="0" w:firstLine="614"/>
        <w:jc w:val="both"/>
        <w:rPr>
          <w:b w:val="0"/>
          <w:bCs/>
        </w:rPr>
      </w:pPr>
      <w:r>
        <w:rPr>
          <w:rFonts w:hint="eastAsia" w:ascii="楷体_GB2312" w:eastAsia="楷体_GB2312" w:cs="楷体_GB2312"/>
          <w:b w:val="0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（二）依申请公开方面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60" w:lineRule="exact"/>
        <w:ind w:left="0" w:right="0" w:firstLine="613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olor w:val="000000"/>
          <w:kern w:val="32"/>
          <w:sz w:val="32"/>
          <w:szCs w:val="32"/>
          <w:lang w:val="en-US" w:eastAsia="zh-CN" w:bidi="ar"/>
        </w:rPr>
        <w:t>严格落实《条例》《规定》，有效提升政府信息公开申请办理工作质量，依法保障公众合法合理信息需求。根据市政府办公厅相关要求，建立健全</w:t>
      </w:r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工作制度，确保了办理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实效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widowControl/>
        <w:shd w:val="clear" w:color="auto" w:fill="FFFFFF"/>
        <w:spacing w:after="240"/>
        <w:ind w:firstLine="480"/>
        <w:rPr>
          <w:rFonts w:ascii="黑体" w:hAnsi="宋体" w:eastAsia="黑体" w:cs="宋体"/>
          <w:bCs/>
          <w:kern w:val="0"/>
          <w:sz w:val="32"/>
          <w:szCs w:val="32"/>
        </w:rPr>
      </w:pPr>
      <w:r>
        <w:t> 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二、主动公开政府信息情况</w:t>
      </w:r>
    </w:p>
    <w:tbl>
      <w:tblPr>
        <w:tblStyle w:val="5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after="240"/>
        <w:rPr>
          <w:rFonts w:hint="eastAsia" w:ascii="宋体" w:hAnsi="宋体" w:cs="宋体"/>
          <w:b/>
          <w:bCs/>
          <w:color w:val="333333"/>
          <w:kern w:val="0"/>
          <w:sz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2"/>
        <w:gridCol w:w="817"/>
        <w:gridCol w:w="754"/>
        <w:gridCol w:w="754"/>
        <w:gridCol w:w="812"/>
        <w:gridCol w:w="972"/>
        <w:gridCol w:w="712"/>
        <w:gridCol w:w="6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5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（五）不予处</w:t>
            </w: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  <w:lang w:eastAsia="zh-CN"/>
              </w:rPr>
              <w:t>9</w:t>
            </w: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理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楷体_GB2312" w:hAnsi="宋体" w:eastAsia="楷体_GB2312" w:cs="宋体"/>
                <w:kern w:val="0"/>
                <w:sz w:val="24"/>
                <w:lang w:val="en-US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 w:color="auto" w:fill="FFFFFF"/>
        <w:ind w:firstLine="482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cs="宋体"/>
          <w:kern w:val="0"/>
          <w:sz w:val="24"/>
        </w:rPr>
      </w:pP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ind w:firstLine="482"/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>存在的主要问题及改进情况</w:t>
      </w:r>
    </w:p>
    <w:p>
      <w:pPr>
        <w:widowControl/>
        <w:numPr>
          <w:numId w:val="0"/>
        </w:numPr>
        <w:shd w:val="clear" w:color="auto" w:fill="FFFFFF"/>
        <w:ind w:firstLine="640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针对新要求，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需加强指导培训，提升各单位对《条例》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等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新内容的准确把握；二是政务公开标准化建设仍需要进一步深入推进，标准目录有待进一步落地；三是政策解读方式有待进一步丰富，政策解读的效果有待进一步提高。</w:t>
      </w:r>
    </w:p>
    <w:p>
      <w:pPr>
        <w:widowControl/>
        <w:numPr>
          <w:numId w:val="0"/>
        </w:numPr>
        <w:shd w:val="clear" w:color="auto" w:fill="FFFFFF"/>
        <w:ind w:firstLine="640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下一步，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是进一步抓好宣贯工作，搞好年度政务公开培训，切实提高培训质量。加强日常工作指导，定期总结和汇编典型案例，不断提高政务公开工作人员工作水平。二是继续抓好政务公开标准化规范化建设，推进标准成果落地。三是推进政策性政府文件解读覆盖，重点提高解读精准性。及时回应社会关切。有针对性的回应服务对象对政策文件草案的疑虑点、关注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firstLine="640" w:firstLineChars="200"/>
        <w:textAlignment w:val="auto"/>
        <w:rPr>
          <w:rFonts w:hint="default" w:ascii="黑体" w:hAnsi="宋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eastAsia="zh-CN"/>
        </w:rPr>
        <w:t>六、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如对本年度报告有任何疑问，请与宁河区政府信息公开办公室联系（地址：天津市宁河区芦台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街道</w:t>
      </w:r>
      <w:r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光明路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47号，邮编：301500，电话：022-69562305）。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55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DE7663"/>
    <w:multiLevelType w:val="singleLevel"/>
    <w:tmpl w:val="9EDE766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63DD5"/>
    <w:rsid w:val="2B1A2CDC"/>
    <w:rsid w:val="3842357B"/>
    <w:rsid w:val="3F19053F"/>
    <w:rsid w:val="6FF39B66"/>
    <w:rsid w:val="79363DD5"/>
    <w:rsid w:val="CFF93A94"/>
    <w:rsid w:val="FB7F609F"/>
    <w:rsid w:val="FDFD1348"/>
    <w:rsid w:val="FE7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2021-02-19T10:32:00Z</dcterms:created>
  <dc:creator>帅行云天</dc:creator>
  <cp:lastModifiedBy>greatwall</cp:lastModifiedBy>
  <dcterms:modified xsi:type="dcterms:W3CDTF">2021-04-02T11:22:54Z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