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both"/>
        <w:rPr>
          <w:rFonts w:ascii="宋体" w:hAnsi="宋体" w:cs="宋体"/>
          <w:b/>
          <w:bCs/>
          <w:kern w:val="0"/>
          <w:sz w:val="44"/>
          <w:szCs w:val="44"/>
        </w:rPr>
      </w:pPr>
    </w:p>
    <w:p>
      <w:pPr>
        <w:widowControl/>
        <w:shd w:val="clear" w:color="auto" w:fill="FFFFFF"/>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lang w:eastAsia="zh-CN"/>
        </w:rPr>
        <w:t>天津市</w:t>
      </w:r>
      <w:r>
        <w:rPr>
          <w:rFonts w:hint="eastAsia" w:ascii="方正小标宋简体" w:hAnsi="宋体" w:eastAsia="方正小标宋简体" w:cs="宋体"/>
          <w:bCs/>
          <w:kern w:val="0"/>
          <w:sz w:val="44"/>
          <w:szCs w:val="44"/>
        </w:rPr>
        <w:t>宁河区司法局</w:t>
      </w:r>
      <w:bookmarkStart w:id="0" w:name="_GoBack"/>
      <w:bookmarkEnd w:id="0"/>
      <w:r>
        <w:rPr>
          <w:rFonts w:hint="eastAsia" w:ascii="方正小标宋简体" w:hAnsi="宋体" w:eastAsia="方正小标宋简体" w:cs="宋体"/>
          <w:bCs/>
          <w:kern w:val="0"/>
          <w:sz w:val="44"/>
          <w:szCs w:val="44"/>
        </w:rPr>
        <w:t>2020年</w:t>
      </w:r>
    </w:p>
    <w:p>
      <w:pPr>
        <w:widowControl/>
        <w:shd w:val="clear" w:color="auto" w:fill="FFFFFF"/>
        <w:jc w:val="center"/>
        <w:rPr>
          <w:rFonts w:hint="eastAsia" w:ascii="方正小标宋简体" w:hAnsi="宋体" w:eastAsia="方正小标宋简体" w:cs="宋体"/>
          <w:bCs/>
          <w:kern w:val="0"/>
          <w:sz w:val="44"/>
          <w:szCs w:val="44"/>
        </w:rPr>
      </w:pPr>
      <w:r>
        <w:rPr>
          <w:rFonts w:hint="eastAsia" w:ascii="方正小标宋简体" w:hAnsi="宋体" w:eastAsia="方正小标宋简体" w:cs="宋体"/>
          <w:bCs/>
          <w:kern w:val="0"/>
          <w:sz w:val="44"/>
          <w:szCs w:val="44"/>
        </w:rPr>
        <w:t>政府信息公开工作报告</w:t>
      </w:r>
    </w:p>
    <w:p>
      <w:pPr>
        <w:widowControl/>
        <w:shd w:val="clear" w:color="auto" w:fill="FFFFFF"/>
        <w:ind w:firstLine="480"/>
        <w:rPr>
          <w:rFonts w:ascii="宋体" w:hAnsi="宋体" w:cs="宋体"/>
          <w:color w:val="333333"/>
          <w:kern w:val="0"/>
          <w:sz w:val="24"/>
        </w:rPr>
      </w:pPr>
    </w:p>
    <w:p>
      <w:pPr>
        <w:widowControl/>
        <w:shd w:val="clear" w:color="auto" w:fill="FFFFFF"/>
        <w:ind w:firstLine="480"/>
        <w:rPr>
          <w:rFonts w:ascii="黑体" w:hAnsi="宋体" w:eastAsia="黑体" w:cs="宋体"/>
          <w:kern w:val="0"/>
          <w:sz w:val="32"/>
          <w:szCs w:val="32"/>
        </w:rPr>
      </w:pPr>
      <w:r>
        <w:rPr>
          <w:rFonts w:hint="eastAsia" w:ascii="黑体" w:hAnsi="宋体" w:eastAsia="黑体" w:cs="宋体"/>
          <w:bCs/>
          <w:kern w:val="0"/>
          <w:sz w:val="32"/>
          <w:szCs w:val="32"/>
        </w:rPr>
        <w:t>一、总体情况</w:t>
      </w:r>
    </w:p>
    <w:p>
      <w:pPr>
        <w:widowControl/>
        <w:shd w:val="clear" w:color="auto" w:fill="FFFFFF"/>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2020年，宁河区司法局以习近平新时代中国特色社会主义思想为指导，深入贯彻党的十九大精神，认真贯彻实施《中华人民共和国政府信息公开条例》，紧密结合司法行政工作实际，加大司法行政公开力度，不断完善政府信息公开的制度，进一步深化政府信息公开的内容，在切实保障公众的知情权、参与权和监督权，促进权力在阳光下运行方面取得了一定的成绩。</w:t>
      </w:r>
    </w:p>
    <w:p>
      <w:pPr>
        <w:shd w:val="clear" w:color="auto" w:fill="FFFFFF"/>
        <w:spacing w:line="560" w:lineRule="exact"/>
        <w:ind w:firstLine="640" w:firstLineChars="200"/>
        <w:rPr>
          <w:rFonts w:ascii="仿宋_GB2312" w:hAnsi="仿宋_GB2312" w:eastAsia="仿宋_GB2312" w:cs="仿宋_GB2312"/>
          <w:bCs/>
          <w:kern w:val="0"/>
          <w:sz w:val="32"/>
          <w:szCs w:val="32"/>
        </w:rPr>
      </w:pPr>
      <w:r>
        <w:rPr>
          <w:rFonts w:hint="eastAsia" w:ascii="楷体" w:hAnsi="楷体" w:eastAsia="楷体" w:cs="楷体"/>
          <w:bCs/>
          <w:kern w:val="0"/>
          <w:sz w:val="32"/>
          <w:szCs w:val="32"/>
        </w:rPr>
        <w:t>一是做好主动公开工作。</w:t>
      </w:r>
      <w:r>
        <w:rPr>
          <w:rFonts w:hint="eastAsia" w:ascii="仿宋_GB2312" w:hAnsi="仿宋_GB2312" w:eastAsia="仿宋_GB2312" w:cs="仿宋_GB2312"/>
          <w:bCs/>
          <w:kern w:val="0"/>
          <w:sz w:val="32"/>
          <w:szCs w:val="32"/>
        </w:rPr>
        <w:t>严格按照《中华人民共和国政府信息公开条例》规定，属于主动公开范围的政府信息，自该政府信息形成或者变更之日起20个工作日内及时公开，并及时报送至宁河区档案馆、政务服务办公室方便群众查阅。宁河区司法局在宁河区政务网主动公开机关职能、机构设置、办公地址、办公时间、联系方式、负责人姓名、权责清单、行政处罚决定、有关文件等各类信息。</w:t>
      </w:r>
    </w:p>
    <w:p>
      <w:pPr>
        <w:widowControl/>
        <w:shd w:val="clear" w:color="auto" w:fill="FFFFFF"/>
        <w:spacing w:line="560" w:lineRule="exact"/>
        <w:ind w:firstLine="640" w:firstLineChars="200"/>
        <w:rPr>
          <w:rFonts w:ascii="仿宋_GB2312" w:hAnsi="仿宋_GB2312" w:eastAsia="仿宋_GB2312" w:cs="仿宋_GB2312"/>
          <w:bCs/>
          <w:kern w:val="0"/>
          <w:sz w:val="32"/>
          <w:szCs w:val="32"/>
        </w:rPr>
      </w:pPr>
      <w:r>
        <w:rPr>
          <w:rFonts w:hint="eastAsia" w:ascii="楷体" w:hAnsi="楷体" w:eastAsia="楷体" w:cs="楷体"/>
          <w:bCs/>
          <w:kern w:val="0"/>
          <w:sz w:val="32"/>
          <w:szCs w:val="32"/>
        </w:rPr>
        <w:t>二是依法做好依申请公开工作。</w:t>
      </w:r>
      <w:r>
        <w:rPr>
          <w:rFonts w:hint="eastAsia" w:ascii="仿宋_GB2312" w:hAnsi="仿宋_GB2312" w:eastAsia="仿宋_GB2312" w:cs="仿宋_GB2312"/>
          <w:bCs/>
          <w:kern w:val="0"/>
          <w:sz w:val="32"/>
          <w:szCs w:val="32"/>
        </w:rPr>
        <w:t>2020年以来，我局未接到针对本部门有关政府信息公开的申请。</w:t>
      </w:r>
    </w:p>
    <w:p>
      <w:pPr>
        <w:widowControl/>
        <w:shd w:val="clear" w:color="auto" w:fill="FFFFFF"/>
        <w:spacing w:line="560" w:lineRule="exact"/>
        <w:ind w:firstLine="640" w:firstLineChars="200"/>
        <w:rPr>
          <w:rFonts w:ascii="仿宋_GB2312" w:hAnsi="仿宋_GB2312" w:eastAsia="仿宋_GB2312" w:cs="仿宋_GB2312"/>
          <w:bCs/>
          <w:kern w:val="0"/>
          <w:sz w:val="32"/>
          <w:szCs w:val="32"/>
        </w:rPr>
      </w:pPr>
      <w:r>
        <w:rPr>
          <w:rFonts w:hint="eastAsia" w:ascii="楷体" w:hAnsi="楷体" w:eastAsia="楷体" w:cs="楷体"/>
          <w:bCs/>
          <w:kern w:val="0"/>
          <w:sz w:val="32"/>
          <w:szCs w:val="32"/>
        </w:rPr>
        <w:t>三是做好政府信息管理工作。</w:t>
      </w:r>
      <w:r>
        <w:rPr>
          <w:rFonts w:hint="eastAsia" w:ascii="仿宋_GB2312" w:hAnsi="仿宋_GB2312" w:eastAsia="仿宋_GB2312" w:cs="仿宋_GB2312"/>
          <w:bCs/>
          <w:kern w:val="0"/>
          <w:sz w:val="32"/>
          <w:szCs w:val="32"/>
        </w:rPr>
        <w:t>局办公室明确专人积极做好主动公开政府信息的维护、更新和报送工作。建立健全了政府信息公开审查机制，明确审查的程序和责任，依照《中华人民共和国保守国家秘密法》以及其他法律、法规和国家有关规定对拟公开的政府信息进行审查。</w:t>
      </w:r>
    </w:p>
    <w:p>
      <w:pPr>
        <w:widowControl/>
        <w:shd w:val="clear" w:color="auto" w:fill="FFFFFF"/>
        <w:spacing w:line="560" w:lineRule="exact"/>
        <w:ind w:firstLine="640" w:firstLineChars="200"/>
        <w:rPr>
          <w:rFonts w:ascii="仿宋_GB2312" w:hAnsi="仿宋_GB2312" w:eastAsia="仿宋_GB2312" w:cs="仿宋_GB2312"/>
          <w:bCs/>
          <w:kern w:val="0"/>
          <w:sz w:val="32"/>
          <w:szCs w:val="32"/>
        </w:rPr>
      </w:pPr>
      <w:r>
        <w:rPr>
          <w:rFonts w:hint="eastAsia" w:ascii="楷体" w:hAnsi="楷体" w:eastAsia="楷体" w:cs="楷体"/>
          <w:bCs/>
          <w:kern w:val="0"/>
          <w:sz w:val="32"/>
          <w:szCs w:val="32"/>
        </w:rPr>
        <w:t>四是自觉接受监督检查。</w:t>
      </w:r>
      <w:r>
        <w:rPr>
          <w:rFonts w:hint="eastAsia" w:ascii="仿宋_GB2312" w:hAnsi="仿宋_GB2312" w:eastAsia="仿宋_GB2312" w:cs="仿宋_GB2312"/>
          <w:bCs/>
          <w:kern w:val="0"/>
          <w:sz w:val="32"/>
          <w:szCs w:val="32"/>
        </w:rPr>
        <w:t>积极参加定期培训，依法依规开展政府信息公开工作。</w:t>
      </w:r>
    </w:p>
    <w:p>
      <w:pPr>
        <w:widowControl/>
        <w:shd w:val="clear" w:color="auto" w:fill="FFFFFF"/>
        <w:spacing w:after="240"/>
        <w:ind w:firstLine="480"/>
        <w:rPr>
          <w:rFonts w:ascii="黑体" w:hAnsi="宋体" w:eastAsia="黑体" w:cs="宋体"/>
          <w:bCs/>
          <w:kern w:val="0"/>
          <w:sz w:val="32"/>
          <w:szCs w:val="32"/>
        </w:rPr>
      </w:pPr>
      <w:r>
        <w:rPr>
          <w:rFonts w:hint="eastAsia" w:ascii="黑体" w:hAnsi="宋体" w:eastAsia="黑体" w:cs="宋体"/>
          <w:bCs/>
          <w:kern w:val="0"/>
          <w:sz w:val="32"/>
          <w:szCs w:val="32"/>
        </w:rPr>
        <w:t>二、主动公开政府信息情况</w:t>
      </w:r>
    </w:p>
    <w:tbl>
      <w:tblPr>
        <w:tblStyle w:val="6"/>
        <w:tblW w:w="8140" w:type="dxa"/>
        <w:jc w:val="center"/>
        <w:tblLayout w:type="fixed"/>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宋体" w:hAnsi="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本年新</w:t>
            </w:r>
            <w:r>
              <w:rPr>
                <w:rFonts w:hint="eastAsia" w:ascii="宋体" w:hAnsi="宋体" w:cs="宋体"/>
                <w:color w:val="000000"/>
                <w:kern w:val="0"/>
                <w:sz w:val="20"/>
                <w:szCs w:val="20"/>
              </w:rPr>
              <w:br w:type="textWrapping"/>
            </w:r>
            <w:r>
              <w:rPr>
                <w:rFonts w:ascii="宋体" w:hAnsi="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127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127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采购总金额</w:t>
            </w:r>
          </w:p>
        </w:tc>
      </w:tr>
      <w:tr>
        <w:tblPrEx>
          <w:tblCellMar>
            <w:top w:w="0" w:type="dxa"/>
            <w:left w:w="0" w:type="dxa"/>
            <w:bottom w:w="0" w:type="dxa"/>
            <w:right w:w="0" w:type="dxa"/>
          </w:tblCellMar>
        </w:tblPrEx>
        <w:trPr>
          <w:trHeight w:val="52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color w:val="000000"/>
                <w:kern w:val="0"/>
                <w:sz w:val="20"/>
                <w:szCs w:val="20"/>
              </w:rPr>
              <w:t>0</w:t>
            </w:r>
          </w:p>
        </w:tc>
      </w:tr>
    </w:tbl>
    <w:p>
      <w:pPr>
        <w:widowControl/>
        <w:shd w:val="clear" w:color="auto" w:fill="FFFFFF"/>
        <w:ind w:firstLine="480"/>
        <w:rPr>
          <w:rFonts w:ascii="宋体" w:hAnsi="宋体" w:cs="宋体"/>
          <w:color w:val="333333"/>
          <w:kern w:val="0"/>
          <w:sz w:val="24"/>
        </w:rPr>
      </w:pPr>
    </w:p>
    <w:p>
      <w:pPr>
        <w:widowControl/>
        <w:shd w:val="clear" w:color="auto" w:fill="FFFFFF"/>
        <w:spacing w:after="240"/>
        <w:rPr>
          <w:rFonts w:ascii="宋体" w:hAnsi="宋体" w:cs="宋体"/>
          <w:b/>
          <w:bCs/>
          <w:color w:val="333333"/>
          <w:kern w:val="0"/>
          <w:sz w:val="24"/>
        </w:rPr>
      </w:pPr>
    </w:p>
    <w:p>
      <w:pPr>
        <w:widowControl/>
        <w:shd w:val="clear" w:color="auto" w:fill="FFFFFF"/>
        <w:spacing w:after="240"/>
        <w:ind w:firstLine="480"/>
        <w:rPr>
          <w:rFonts w:ascii="黑体" w:hAnsi="宋体" w:eastAsia="黑体" w:cs="宋体"/>
          <w:bCs/>
          <w:kern w:val="0"/>
          <w:sz w:val="32"/>
          <w:szCs w:val="32"/>
        </w:rPr>
      </w:pPr>
      <w:r>
        <w:rPr>
          <w:rFonts w:hint="eastAsia" w:ascii="黑体" w:hAnsi="宋体" w:eastAsia="黑体" w:cs="宋体"/>
          <w:bCs/>
          <w:kern w:val="0"/>
          <w:sz w:val="32"/>
          <w:szCs w:val="32"/>
        </w:rPr>
        <w:t>三、收到和处理政府信息公开申请情况</w:t>
      </w:r>
    </w:p>
    <w:tbl>
      <w:tblPr>
        <w:tblStyle w:val="6"/>
        <w:tblW w:w="9071" w:type="dxa"/>
        <w:jc w:val="center"/>
        <w:tblLayout w:type="fixed"/>
        <w:tblCellMar>
          <w:top w:w="0" w:type="dxa"/>
          <w:left w:w="0" w:type="dxa"/>
          <w:bottom w:w="0" w:type="dxa"/>
          <w:right w:w="0" w:type="dxa"/>
        </w:tblCellMar>
      </w:tblPr>
      <w:tblGrid>
        <w:gridCol w:w="617"/>
        <w:gridCol w:w="854"/>
        <w:gridCol w:w="2086"/>
        <w:gridCol w:w="813"/>
        <w:gridCol w:w="755"/>
        <w:gridCol w:w="755"/>
        <w:gridCol w:w="813"/>
        <w:gridCol w:w="973"/>
        <w:gridCol w:w="711"/>
        <w:gridCol w:w="694"/>
      </w:tblGrid>
      <w:tr>
        <w:trPr>
          <w:jc w:val="center"/>
        </w:trPr>
        <w:tc>
          <w:tcPr>
            <w:tcW w:w="3557" w:type="dxa"/>
            <w:gridSpan w:val="3"/>
            <w:vMerge w:val="restart"/>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（本列数据的勾稽关系为：第一项加第二项之和，等于第三项加第四项之和）</w:t>
            </w:r>
          </w:p>
        </w:tc>
        <w:tc>
          <w:tcPr>
            <w:tcW w:w="5514" w:type="dxa"/>
            <w:gridSpan w:val="7"/>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rPr>
          <w:jc w:val="center"/>
        </w:trPr>
        <w:tc>
          <w:tcPr>
            <w:tcW w:w="3557" w:type="dxa"/>
            <w:gridSpan w:val="3"/>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p>
        </w:tc>
        <w:tc>
          <w:tcPr>
            <w:tcW w:w="813"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自然人</w:t>
            </w:r>
          </w:p>
        </w:tc>
        <w:tc>
          <w:tcPr>
            <w:tcW w:w="4007" w:type="dxa"/>
            <w:gridSpan w:val="5"/>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3557" w:type="dxa"/>
            <w:gridSpan w:val="3"/>
            <w:vMerge w:val="continue"/>
            <w:tcBorders>
              <w:top w:val="single" w:color="auto" w:sz="8" w:space="0"/>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p>
        </w:tc>
        <w:tc>
          <w:tcPr>
            <w:tcW w:w="813" w:type="dxa"/>
            <w:vMerge w:val="continue"/>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商业企业</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科研机构</w:t>
            </w:r>
          </w:p>
        </w:tc>
        <w:tc>
          <w:tcPr>
            <w:tcW w:w="81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社会公益组织</w:t>
            </w:r>
          </w:p>
        </w:tc>
        <w:tc>
          <w:tcPr>
            <w:tcW w:w="973"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w:t>
            </w:r>
          </w:p>
        </w:tc>
        <w:tc>
          <w:tcPr>
            <w:tcW w:w="694" w:type="dxa"/>
            <w:vMerge w:val="continue"/>
            <w:tcBorders>
              <w:top w:val="single" w:color="auto" w:sz="8" w:space="0"/>
              <w:left w:val="nil"/>
              <w:bottom w:val="single" w:color="auto" w:sz="8" w:space="0"/>
              <w:right w:val="single" w:color="auto" w:sz="8" w:space="0"/>
            </w:tcBorders>
            <w:noWrap/>
            <w:vAlign w:val="center"/>
          </w:tcPr>
          <w:p>
            <w:pPr>
              <w:widowControl/>
              <w:jc w:val="left"/>
              <w:rPr>
                <w:rFonts w:ascii="宋体" w:hAnsi="宋体" w:cs="宋体"/>
                <w:kern w:val="0"/>
                <w:sz w:val="24"/>
              </w:rPr>
            </w:pP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一、本年新收政府信息公开申请数量</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二、上年结转政府信息公开申请数量</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三、本年度办理结果</w:t>
            </w:r>
          </w:p>
        </w:tc>
        <w:tc>
          <w:tcPr>
            <w:tcW w:w="294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（一）予以公开</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rPr>
          <w:jc w:val="center"/>
        </w:trPr>
        <w:tc>
          <w:tcPr>
            <w:tcW w:w="617"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p>
        </w:tc>
        <w:tc>
          <w:tcPr>
            <w:tcW w:w="294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（二）部分公开（区分处理的，只计这一情形，不计其他情形）</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rPr>
          <w:jc w:val="center"/>
        </w:trPr>
        <w:tc>
          <w:tcPr>
            <w:tcW w:w="617"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p>
        </w:tc>
        <w:tc>
          <w:tcPr>
            <w:tcW w:w="854"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楷体_GB2312" w:hAnsi="宋体" w:eastAsia="楷体_GB2312" w:cs="宋体"/>
                <w:kern w:val="0"/>
                <w:sz w:val="24"/>
              </w:rPr>
            </w:pPr>
            <w:r>
              <w:rPr>
                <w:rFonts w:hint="eastAsia" w:ascii="楷体_GB2312" w:hAnsi="楷体" w:eastAsia="楷体_GB2312" w:cs="宋体"/>
                <w:kern w:val="0"/>
                <w:sz w:val="20"/>
                <w:szCs w:val="20"/>
              </w:rPr>
              <w:t>（三）不予公开</w:t>
            </w:r>
          </w:p>
        </w:tc>
        <w:tc>
          <w:tcPr>
            <w:tcW w:w="208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1.属于国家秘密</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2.其他法律行政法规禁止公开</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3.危及“三安全一稳定”</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4.保护第三方合法权益</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5.属于三类内部事务信息</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6.属于四类过程性信息</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7.属于行政执法案卷</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8.属于行政查询事项</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p>
        </w:tc>
        <w:tc>
          <w:tcPr>
            <w:tcW w:w="854"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楷体_GB2312" w:hAnsi="宋体" w:eastAsia="楷体_GB2312" w:cs="宋体"/>
                <w:kern w:val="0"/>
                <w:sz w:val="24"/>
              </w:rPr>
            </w:pPr>
            <w:r>
              <w:rPr>
                <w:rFonts w:hint="eastAsia" w:ascii="楷体_GB2312" w:hAnsi="楷体" w:eastAsia="楷体_GB2312" w:cs="宋体"/>
                <w:kern w:val="0"/>
                <w:sz w:val="20"/>
                <w:szCs w:val="20"/>
              </w:rPr>
              <w:t>（四）无法提供</w:t>
            </w:r>
          </w:p>
        </w:tc>
        <w:tc>
          <w:tcPr>
            <w:tcW w:w="208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1.本机关不掌握相关政府信息</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2.没有现成信息需要另行制作</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3.补正后申请内容仍不明确</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p>
        </w:tc>
        <w:tc>
          <w:tcPr>
            <w:tcW w:w="854"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楷体_GB2312" w:hAnsi="宋体" w:eastAsia="楷体_GB2312" w:cs="宋体"/>
                <w:kern w:val="0"/>
                <w:sz w:val="24"/>
              </w:rPr>
            </w:pPr>
            <w:r>
              <w:rPr>
                <w:rFonts w:hint="eastAsia" w:ascii="楷体_GB2312" w:hAnsi="楷体" w:eastAsia="楷体_GB2312" w:cs="宋体"/>
                <w:kern w:val="0"/>
                <w:sz w:val="20"/>
                <w:szCs w:val="20"/>
              </w:rPr>
              <w:t>（五）不予处理</w:t>
            </w:r>
          </w:p>
        </w:tc>
        <w:tc>
          <w:tcPr>
            <w:tcW w:w="208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1.信访举报投诉类申请</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rPr>
          <w:jc w:val="center"/>
        </w:trPr>
        <w:tc>
          <w:tcPr>
            <w:tcW w:w="617"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2.重复申请</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rPr>
          <w:jc w:val="center"/>
        </w:trPr>
        <w:tc>
          <w:tcPr>
            <w:tcW w:w="617"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3.要求提供公开出版物</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rPr>
          <w:jc w:val="center"/>
        </w:trPr>
        <w:tc>
          <w:tcPr>
            <w:tcW w:w="617"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4.无正当理由大量反复申请</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rPr>
          <w:jc w:val="center"/>
        </w:trPr>
        <w:tc>
          <w:tcPr>
            <w:tcW w:w="617"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p>
        </w:tc>
        <w:tc>
          <w:tcPr>
            <w:tcW w:w="854" w:type="dxa"/>
            <w:vMerge w:val="continue"/>
            <w:tcBorders>
              <w:top w:val="nil"/>
              <w:left w:val="nil"/>
              <w:bottom w:val="single" w:color="auto" w:sz="8" w:space="0"/>
              <w:right w:val="single" w:color="auto" w:sz="8" w:space="0"/>
            </w:tcBorders>
            <w:noWrap/>
            <w:vAlign w:val="center"/>
          </w:tcPr>
          <w:p>
            <w:pPr>
              <w:widowControl/>
              <w:jc w:val="left"/>
              <w:rPr>
                <w:rFonts w:ascii="楷体_GB2312" w:hAnsi="宋体" w:eastAsia="楷体_GB2312" w:cs="宋体"/>
                <w:kern w:val="0"/>
                <w:sz w:val="24"/>
              </w:rPr>
            </w:pPr>
          </w:p>
        </w:tc>
        <w:tc>
          <w:tcPr>
            <w:tcW w:w="208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spacing w:line="500" w:lineRule="exact"/>
              <w:jc w:val="left"/>
              <w:rPr>
                <w:rFonts w:ascii="楷体_GB2312" w:hAnsi="宋体" w:eastAsia="楷体_GB2312" w:cs="宋体"/>
                <w:kern w:val="0"/>
                <w:sz w:val="24"/>
              </w:rPr>
            </w:pPr>
            <w:r>
              <w:rPr>
                <w:rFonts w:hint="eastAsia" w:ascii="楷体_GB2312" w:hAnsi="楷体" w:eastAsia="楷体_GB2312" w:cs="宋体"/>
                <w:kern w:val="0"/>
                <w:sz w:val="20"/>
                <w:szCs w:val="20"/>
              </w:rPr>
              <w:t>5.要求行政机关确认或重新出具已获取信息</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rPr>
          <w:jc w:val="center"/>
        </w:trPr>
        <w:tc>
          <w:tcPr>
            <w:tcW w:w="617"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p>
        </w:tc>
        <w:tc>
          <w:tcPr>
            <w:tcW w:w="294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楷体_GB2312" w:hAnsi="宋体" w:eastAsia="楷体_GB2312" w:cs="宋体"/>
                <w:kern w:val="0"/>
                <w:sz w:val="24"/>
              </w:rPr>
            </w:pPr>
            <w:r>
              <w:rPr>
                <w:rFonts w:hint="eastAsia" w:ascii="楷体_GB2312" w:hAnsi="楷体" w:eastAsia="楷体_GB2312" w:cs="宋体"/>
                <w:kern w:val="0"/>
                <w:sz w:val="20"/>
                <w:szCs w:val="20"/>
              </w:rPr>
              <w:t>（六）其他处理</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rPr>
          <w:jc w:val="center"/>
        </w:trPr>
        <w:tc>
          <w:tcPr>
            <w:tcW w:w="617"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p>
        </w:tc>
        <w:tc>
          <w:tcPr>
            <w:tcW w:w="2940"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楷体_GB2312" w:hAnsi="宋体" w:eastAsia="楷体_GB2312" w:cs="宋体"/>
                <w:kern w:val="0"/>
                <w:sz w:val="24"/>
              </w:rPr>
            </w:pPr>
            <w:r>
              <w:rPr>
                <w:rFonts w:hint="eastAsia" w:ascii="楷体_GB2312" w:hAnsi="楷体" w:eastAsia="楷体_GB2312" w:cs="宋体"/>
                <w:kern w:val="0"/>
                <w:sz w:val="20"/>
                <w:szCs w:val="20"/>
              </w:rPr>
              <w:t>（七）总计</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rPr>
          <w:jc w:val="center"/>
        </w:trPr>
        <w:tc>
          <w:tcPr>
            <w:tcW w:w="3557" w:type="dxa"/>
            <w:gridSpan w:val="3"/>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cs="宋体"/>
                <w:kern w:val="0"/>
                <w:sz w:val="24"/>
              </w:rPr>
            </w:pPr>
            <w:r>
              <w:rPr>
                <w:rFonts w:hint="eastAsia" w:ascii="宋体" w:hAnsi="宋体" w:cs="宋体"/>
                <w:kern w:val="0"/>
                <w:sz w:val="20"/>
                <w:szCs w:val="20"/>
              </w:rPr>
              <w:t>四、结转下年度继续办理</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5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81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973"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71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9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bl>
    <w:p>
      <w:pPr>
        <w:widowControl/>
        <w:shd w:val="clear" w:color="auto" w:fill="FFFFFF"/>
        <w:ind w:firstLine="482"/>
        <w:rPr>
          <w:rFonts w:ascii="黑体" w:hAnsi="宋体" w:eastAsia="黑体" w:cs="宋体"/>
          <w:bCs/>
          <w:kern w:val="0"/>
          <w:sz w:val="32"/>
          <w:szCs w:val="32"/>
        </w:rPr>
      </w:pPr>
    </w:p>
    <w:p>
      <w:pPr>
        <w:widowControl/>
        <w:shd w:val="clear" w:color="auto" w:fill="FFFFFF"/>
        <w:ind w:firstLine="482"/>
        <w:rPr>
          <w:rFonts w:ascii="黑体" w:hAnsi="宋体" w:eastAsia="黑体" w:cs="宋体"/>
          <w:bCs/>
          <w:kern w:val="0"/>
          <w:sz w:val="32"/>
          <w:szCs w:val="32"/>
        </w:rPr>
      </w:pPr>
      <w:r>
        <w:rPr>
          <w:rFonts w:hint="eastAsia" w:ascii="黑体" w:hAnsi="宋体" w:eastAsia="黑体" w:cs="宋体"/>
          <w:bCs/>
          <w:kern w:val="0"/>
          <w:sz w:val="32"/>
          <w:szCs w:val="32"/>
        </w:rPr>
        <w:t>四、政府信息公开行政复议、行政诉讼情况</w:t>
      </w:r>
    </w:p>
    <w:p>
      <w:pPr>
        <w:widowControl/>
        <w:shd w:val="clear" w:color="auto" w:fill="FFFFFF"/>
        <w:ind w:firstLine="480"/>
        <w:rPr>
          <w:rFonts w:ascii="宋体" w:hAnsi="宋体" w:cs="宋体"/>
          <w:kern w:val="0"/>
          <w:sz w:val="24"/>
        </w:rPr>
      </w:pPr>
    </w:p>
    <w:tbl>
      <w:tblPr>
        <w:tblStyle w:val="6"/>
        <w:tblW w:w="9071" w:type="dxa"/>
        <w:jc w:val="center"/>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jc w:val="center"/>
        </w:trPr>
        <w:tc>
          <w:tcPr>
            <w:tcW w:w="3074" w:type="dxa"/>
            <w:gridSpan w:val="5"/>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ign w:val="center"/>
          </w:tcPr>
          <w:p>
            <w:pPr>
              <w:widowControl/>
              <w:jc w:val="left"/>
              <w:rPr>
                <w:rFonts w:ascii="宋体" w:hAnsi="宋体" w:cs="宋体"/>
                <w:kern w:val="0"/>
                <w:sz w:val="24"/>
              </w:rPr>
            </w:pPr>
          </w:p>
        </w:tc>
        <w:tc>
          <w:tcPr>
            <w:tcW w:w="604" w:type="dxa"/>
            <w:vMerge w:val="continue"/>
            <w:tcBorders>
              <w:top w:val="nil"/>
              <w:left w:val="nil"/>
              <w:bottom w:val="single" w:color="auto" w:sz="8" w:space="0"/>
              <w:right w:val="single" w:color="auto" w:sz="8" w:space="0"/>
            </w:tcBorders>
            <w:noWrap/>
            <w:vAlign w:val="center"/>
          </w:tcPr>
          <w:p>
            <w:pPr>
              <w:widowControl/>
              <w:jc w:val="left"/>
              <w:rPr>
                <w:rFonts w:ascii="宋体" w:hAnsi="宋体" w:cs="宋体"/>
                <w:kern w:val="0"/>
                <w:sz w:val="24"/>
              </w:rPr>
            </w:pPr>
          </w:p>
        </w:tc>
        <w:tc>
          <w:tcPr>
            <w:tcW w:w="604" w:type="dxa"/>
            <w:vMerge w:val="continue"/>
            <w:tcBorders>
              <w:top w:val="single" w:color="auto" w:sz="8" w:space="0"/>
              <w:left w:val="nil"/>
              <w:bottom w:val="single" w:color="auto" w:sz="8" w:space="0"/>
              <w:right w:val="single" w:color="auto" w:sz="8" w:space="0"/>
            </w:tcBorders>
            <w:noWrap/>
            <w:vAlign w:val="center"/>
          </w:tcPr>
          <w:p>
            <w:pPr>
              <w:widowControl/>
              <w:jc w:val="left"/>
              <w:rPr>
                <w:rFonts w:ascii="宋体" w:hAnsi="宋体" w:cs="宋体"/>
                <w:kern w:val="0"/>
                <w:sz w:val="24"/>
              </w:rPr>
            </w:pPr>
          </w:p>
        </w:tc>
        <w:tc>
          <w:tcPr>
            <w:tcW w:w="604" w:type="dxa"/>
            <w:vMerge w:val="continue"/>
            <w:tcBorders>
              <w:top w:val="single" w:color="auto" w:sz="8" w:space="0"/>
              <w:left w:val="nil"/>
              <w:bottom w:val="single" w:color="auto" w:sz="8" w:space="0"/>
              <w:right w:val="single" w:color="auto" w:sz="8" w:space="0"/>
            </w:tcBorders>
            <w:noWrap/>
            <w:vAlign w:val="center"/>
          </w:tcPr>
          <w:p>
            <w:pPr>
              <w:widowControl/>
              <w:jc w:val="left"/>
              <w:rPr>
                <w:rFonts w:ascii="宋体" w:hAnsi="宋体" w:cs="宋体"/>
                <w:kern w:val="0"/>
                <w:sz w:val="24"/>
              </w:rPr>
            </w:pPr>
          </w:p>
        </w:tc>
        <w:tc>
          <w:tcPr>
            <w:tcW w:w="658" w:type="dxa"/>
            <w:vMerge w:val="continue"/>
            <w:tcBorders>
              <w:top w:val="single" w:color="auto" w:sz="8" w:space="0"/>
              <w:left w:val="nil"/>
              <w:bottom w:val="single" w:color="auto" w:sz="8" w:space="0"/>
              <w:right w:val="single" w:color="auto" w:sz="8" w:space="0"/>
            </w:tcBorders>
            <w:noWrap/>
            <w:vAlign w:val="center"/>
          </w:tcPr>
          <w:p>
            <w:pPr>
              <w:widowControl/>
              <w:jc w:val="left"/>
              <w:rPr>
                <w:rFonts w:ascii="宋体" w:hAnsi="宋体" w:cs="宋体"/>
                <w:kern w:val="0"/>
                <w:sz w:val="24"/>
              </w:rPr>
            </w:pPr>
          </w:p>
        </w:tc>
        <w:tc>
          <w:tcPr>
            <w:tcW w:w="5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c>
          <w:tcPr>
            <w:tcW w:w="60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其他结果</w:t>
            </w:r>
          </w:p>
        </w:tc>
        <w:tc>
          <w:tcPr>
            <w:tcW w:w="606"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尚未审结</w:t>
            </w:r>
          </w:p>
        </w:tc>
        <w:tc>
          <w:tcPr>
            <w:tcW w:w="606"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0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5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55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0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0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0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0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0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0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0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0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606"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bl>
    <w:p>
      <w:pPr>
        <w:widowControl/>
        <w:shd w:val="clear" w:color="auto" w:fill="FFFFFF"/>
        <w:spacing w:after="240"/>
        <w:ind w:firstLine="480" w:firstLineChars="150"/>
        <w:rPr>
          <w:rFonts w:ascii="黑体" w:hAnsi="宋体" w:eastAsia="黑体" w:cs="宋体"/>
          <w:bCs/>
          <w:kern w:val="0"/>
          <w:sz w:val="32"/>
          <w:szCs w:val="32"/>
        </w:rPr>
      </w:pPr>
    </w:p>
    <w:p>
      <w:pPr>
        <w:widowControl/>
        <w:shd w:val="clear" w:color="auto" w:fill="FFFFFF"/>
        <w:spacing w:after="240"/>
        <w:ind w:firstLine="480" w:firstLineChars="150"/>
        <w:rPr>
          <w:rFonts w:ascii="黑体" w:hAnsi="宋体" w:eastAsia="黑体" w:cs="宋体"/>
          <w:bCs/>
          <w:kern w:val="0"/>
          <w:sz w:val="32"/>
          <w:szCs w:val="32"/>
        </w:rPr>
      </w:pPr>
      <w:r>
        <w:rPr>
          <w:rFonts w:hint="eastAsia" w:ascii="黑体" w:hAnsi="宋体" w:eastAsia="黑体" w:cs="宋体"/>
          <w:bCs/>
          <w:kern w:val="0"/>
          <w:sz w:val="32"/>
          <w:szCs w:val="32"/>
        </w:rPr>
        <w:t>五、存在的主要问题及改进情况</w:t>
      </w:r>
    </w:p>
    <w:p>
      <w:pPr>
        <w:widowControl/>
        <w:shd w:val="clear" w:color="auto" w:fill="FFFFFF"/>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2020年以来，</w:t>
      </w:r>
      <w:r>
        <w:rPr>
          <w:rFonts w:hint="eastAsia" w:ascii="仿宋_GB2312" w:hAnsi="仿宋_GB2312" w:eastAsia="仿宋_GB2312" w:cs="仿宋_GB2312"/>
          <w:bCs/>
          <w:kern w:val="0"/>
          <w:sz w:val="32"/>
          <w:szCs w:val="32"/>
        </w:rPr>
        <w:t>我局虽然在加大司法行政公开力度、完善政府信息公开制度等方面取得了一定的成绩，但在政府信息公开工作中还存在一些不足:如司法行政公开的内容与公众的需求还存在一些差距、公文类信息公开属性界定还有待规范，这些均需在今后工作中加以改进。对此，我局下大力气进行了积极改进:一是加大司法行政公开力度。按照公开为常态、不公开为例外及公正、公平、合法、便民的原则和要求，继续加大司法行政公开的探索力度，提升政府信息公开工作水平。二是针对政府信息公开内容及公开属性界定等问题，主动与上级机关和主管部门沟通，极大解决了在规范政府信息公开内容和政府信息依申请公开工作中遇到的难题。三是加大学习培训力度，组织机关科室召开了政府信息公开专题会议，专项学习了《中华人民共和国政府信息公开条例》，并就信息报送、公文类信息公开属性确定等工作进行了部署安排。</w:t>
      </w:r>
    </w:p>
    <w:p>
      <w:pPr>
        <w:widowControl/>
        <w:numPr>
          <w:ilvl w:val="0"/>
          <w:numId w:val="1"/>
        </w:numPr>
        <w:shd w:val="clear" w:color="auto" w:fill="FFFFFF"/>
        <w:spacing w:after="240"/>
        <w:ind w:firstLine="480"/>
        <w:rPr>
          <w:rFonts w:ascii="黑体" w:hAnsi="宋体" w:eastAsia="黑体" w:cs="宋体"/>
          <w:bCs/>
          <w:kern w:val="0"/>
          <w:sz w:val="32"/>
          <w:szCs w:val="32"/>
        </w:rPr>
      </w:pPr>
      <w:r>
        <w:rPr>
          <w:rFonts w:hint="eastAsia" w:ascii="黑体" w:hAnsi="宋体" w:eastAsia="黑体" w:cs="宋体"/>
          <w:bCs/>
          <w:kern w:val="0"/>
          <w:sz w:val="32"/>
          <w:szCs w:val="32"/>
        </w:rPr>
        <w:t>其他需要报告的事项</w:t>
      </w:r>
    </w:p>
    <w:p>
      <w:pPr>
        <w:widowControl/>
        <w:shd w:val="clear" w:color="auto" w:fill="FFFFFF"/>
        <w:spacing w:after="240"/>
        <w:rPr>
          <w:rFonts w:ascii="仿宋_GB2312" w:hAnsi="仿宋_GB2312" w:eastAsia="仿宋_GB2312" w:cs="仿宋_GB2312"/>
          <w:bCs/>
          <w:kern w:val="0"/>
          <w:sz w:val="32"/>
          <w:szCs w:val="32"/>
        </w:rPr>
      </w:pPr>
      <w:r>
        <w:rPr>
          <w:rFonts w:hint="eastAsia" w:ascii="黑体" w:hAnsi="宋体" w:eastAsia="黑体" w:cs="宋体"/>
          <w:bCs/>
          <w:kern w:val="0"/>
          <w:sz w:val="32"/>
          <w:szCs w:val="32"/>
        </w:rPr>
        <w:t xml:space="preserve">  </w:t>
      </w:r>
      <w:r>
        <w:rPr>
          <w:rFonts w:hint="eastAsia" w:ascii="仿宋_GB2312" w:hAnsi="仿宋_GB2312" w:eastAsia="仿宋_GB2312" w:cs="仿宋_GB2312"/>
          <w:bCs/>
          <w:kern w:val="0"/>
          <w:sz w:val="32"/>
          <w:szCs w:val="32"/>
        </w:rPr>
        <w:t xml:space="preserve"> </w:t>
      </w:r>
      <w:r>
        <w:rPr>
          <w:rFonts w:hint="eastAsia" w:ascii="仿宋_GB2312" w:hAnsi="仿宋_GB2312" w:eastAsia="仿宋_GB2312" w:cs="仿宋_GB2312"/>
          <w:bCs/>
          <w:kern w:val="0"/>
          <w:sz w:val="32"/>
          <w:szCs w:val="32"/>
          <w:lang w:eastAsia="zh-CN"/>
        </w:rPr>
        <w:t>司法局</w:t>
      </w:r>
      <w:r>
        <w:rPr>
          <w:rFonts w:hint="eastAsia" w:ascii="仿宋_GB2312" w:hAnsi="仿宋_GB2312" w:eastAsia="仿宋_GB2312" w:cs="仿宋_GB2312"/>
          <w:bCs/>
          <w:kern w:val="0"/>
          <w:sz w:val="32"/>
          <w:szCs w:val="32"/>
        </w:rPr>
        <w:t>没有其他需要报告的事项。</w:t>
      </w:r>
    </w:p>
    <w:p>
      <w:pPr>
        <w:widowControl/>
        <w:shd w:val="clear" w:color="auto" w:fill="FFFFFF"/>
        <w:spacing w:after="240"/>
        <w:rPr>
          <w:rFonts w:ascii="仿宋_GB2312" w:hAnsi="仿宋_GB2312" w:eastAsia="仿宋_GB2312" w:cs="仿宋_GB2312"/>
          <w:bCs/>
          <w:kern w:val="0"/>
          <w:sz w:val="32"/>
          <w:szCs w:val="32"/>
        </w:rPr>
      </w:pPr>
    </w:p>
    <w:p>
      <w:pPr>
        <w:widowControl/>
        <w:shd w:val="clear" w:color="auto" w:fill="FFFFFF"/>
        <w:spacing w:after="24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                                </w:t>
      </w:r>
    </w:p>
    <w:p>
      <w:pPr>
        <w:widowControl/>
        <w:shd w:val="clear" w:color="auto" w:fill="FFFFFF"/>
        <w:spacing w:after="24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rPr>
        <w:t>20</w:t>
      </w:r>
      <w:r>
        <w:rPr>
          <w:rFonts w:hint="eastAsia" w:ascii="仿宋_GB2312" w:hAnsi="仿宋_GB2312" w:eastAsia="仿宋_GB2312" w:cs="仿宋_GB2312"/>
          <w:bCs/>
          <w:kern w:val="0"/>
          <w:sz w:val="32"/>
          <w:szCs w:val="32"/>
          <w:lang w:val="en-US" w:eastAsia="zh-CN"/>
        </w:rPr>
        <w:t>21</w:t>
      </w:r>
      <w:r>
        <w:rPr>
          <w:rFonts w:hint="eastAsia" w:ascii="仿宋_GB2312" w:hAnsi="仿宋_GB2312" w:eastAsia="仿宋_GB2312" w:cs="仿宋_GB2312"/>
          <w:bCs/>
          <w:kern w:val="0"/>
          <w:sz w:val="32"/>
          <w:szCs w:val="32"/>
        </w:rPr>
        <w:t>年</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月1</w:t>
      </w:r>
      <w:r>
        <w:rPr>
          <w:rFonts w:hint="eastAsia" w:ascii="仿宋_GB2312" w:hAnsi="仿宋_GB2312" w:eastAsia="仿宋_GB2312" w:cs="仿宋_GB2312"/>
          <w:bCs/>
          <w:kern w:val="0"/>
          <w:sz w:val="32"/>
          <w:szCs w:val="32"/>
          <w:lang w:val="en-US" w:eastAsia="zh-CN"/>
        </w:rPr>
        <w:t>8</w:t>
      </w:r>
      <w:r>
        <w:rPr>
          <w:rFonts w:hint="eastAsia" w:ascii="仿宋_GB2312" w:hAnsi="仿宋_GB2312" w:eastAsia="仿宋_GB2312" w:cs="仿宋_GB2312"/>
          <w:bCs/>
          <w:kern w:val="0"/>
          <w:sz w:val="32"/>
          <w:szCs w:val="32"/>
        </w:rPr>
        <w:t>日</w:t>
      </w:r>
    </w:p>
    <w:sectPr>
      <w:footerReference r:id="rId5" w:type="first"/>
      <w:footerReference r:id="rId3" w:type="default"/>
      <w:footerReference r:id="rId4" w:type="even"/>
      <w:pgSz w:w="11906" w:h="16838"/>
      <w:pgMar w:top="1928" w:right="1474" w:bottom="1814" w:left="1588"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- 2 -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4BEE5D"/>
    <w:multiLevelType w:val="singleLevel"/>
    <w:tmpl w:val="064BEE5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B3"/>
    <w:rsid w:val="00005FEB"/>
    <w:rsid w:val="0001242D"/>
    <w:rsid w:val="00012A0B"/>
    <w:rsid w:val="0001625B"/>
    <w:rsid w:val="00031B45"/>
    <w:rsid w:val="000413FC"/>
    <w:rsid w:val="000421D0"/>
    <w:rsid w:val="00043C4F"/>
    <w:rsid w:val="00065837"/>
    <w:rsid w:val="000756B8"/>
    <w:rsid w:val="000802CC"/>
    <w:rsid w:val="00083173"/>
    <w:rsid w:val="000860B2"/>
    <w:rsid w:val="000911F0"/>
    <w:rsid w:val="0009274C"/>
    <w:rsid w:val="00094D40"/>
    <w:rsid w:val="000B5484"/>
    <w:rsid w:val="000B7927"/>
    <w:rsid w:val="000B796F"/>
    <w:rsid w:val="000C3BFB"/>
    <w:rsid w:val="000C6786"/>
    <w:rsid w:val="000C75DF"/>
    <w:rsid w:val="000D3BD3"/>
    <w:rsid w:val="000E2657"/>
    <w:rsid w:val="000E4952"/>
    <w:rsid w:val="000E62DC"/>
    <w:rsid w:val="000E7A86"/>
    <w:rsid w:val="000F02C5"/>
    <w:rsid w:val="00112820"/>
    <w:rsid w:val="00115980"/>
    <w:rsid w:val="00122CB1"/>
    <w:rsid w:val="0012636F"/>
    <w:rsid w:val="001321D8"/>
    <w:rsid w:val="00140635"/>
    <w:rsid w:val="00141891"/>
    <w:rsid w:val="001422AD"/>
    <w:rsid w:val="00165A61"/>
    <w:rsid w:val="001706C2"/>
    <w:rsid w:val="00173420"/>
    <w:rsid w:val="00175E5B"/>
    <w:rsid w:val="00185981"/>
    <w:rsid w:val="001912BE"/>
    <w:rsid w:val="00197DE1"/>
    <w:rsid w:val="001A6448"/>
    <w:rsid w:val="001B66AA"/>
    <w:rsid w:val="001C643E"/>
    <w:rsid w:val="001D0FB3"/>
    <w:rsid w:val="001E73C7"/>
    <w:rsid w:val="001F612D"/>
    <w:rsid w:val="00207C21"/>
    <w:rsid w:val="00210A9B"/>
    <w:rsid w:val="0021213B"/>
    <w:rsid w:val="00213E2B"/>
    <w:rsid w:val="00216083"/>
    <w:rsid w:val="00222A2B"/>
    <w:rsid w:val="00227E7A"/>
    <w:rsid w:val="00227F0F"/>
    <w:rsid w:val="002304FB"/>
    <w:rsid w:val="00230510"/>
    <w:rsid w:val="00243DCB"/>
    <w:rsid w:val="0025608E"/>
    <w:rsid w:val="002574A2"/>
    <w:rsid w:val="002642D3"/>
    <w:rsid w:val="00270F8C"/>
    <w:rsid w:val="00275FEB"/>
    <w:rsid w:val="00277670"/>
    <w:rsid w:val="00280398"/>
    <w:rsid w:val="00281ABA"/>
    <w:rsid w:val="0029401E"/>
    <w:rsid w:val="002A2955"/>
    <w:rsid w:val="002B1774"/>
    <w:rsid w:val="002B7CD1"/>
    <w:rsid w:val="002C784F"/>
    <w:rsid w:val="002D2AC7"/>
    <w:rsid w:val="002D6CD9"/>
    <w:rsid w:val="002E2722"/>
    <w:rsid w:val="002F13E3"/>
    <w:rsid w:val="002F1737"/>
    <w:rsid w:val="003035CE"/>
    <w:rsid w:val="00305B8D"/>
    <w:rsid w:val="00320011"/>
    <w:rsid w:val="00323336"/>
    <w:rsid w:val="00331E1F"/>
    <w:rsid w:val="00336D5C"/>
    <w:rsid w:val="0035058B"/>
    <w:rsid w:val="00362BB3"/>
    <w:rsid w:val="00383C47"/>
    <w:rsid w:val="00392973"/>
    <w:rsid w:val="003B5315"/>
    <w:rsid w:val="003B76CB"/>
    <w:rsid w:val="003C6AAC"/>
    <w:rsid w:val="003D2C52"/>
    <w:rsid w:val="003D58BA"/>
    <w:rsid w:val="003E5A9E"/>
    <w:rsid w:val="003E77AF"/>
    <w:rsid w:val="003F133F"/>
    <w:rsid w:val="003F642C"/>
    <w:rsid w:val="0040297D"/>
    <w:rsid w:val="00414F5E"/>
    <w:rsid w:val="00421787"/>
    <w:rsid w:val="00427E5A"/>
    <w:rsid w:val="00436229"/>
    <w:rsid w:val="0045460A"/>
    <w:rsid w:val="0046230E"/>
    <w:rsid w:val="00475EB3"/>
    <w:rsid w:val="0049774B"/>
    <w:rsid w:val="004A28C7"/>
    <w:rsid w:val="004B01C3"/>
    <w:rsid w:val="004B2AC6"/>
    <w:rsid w:val="004D27CC"/>
    <w:rsid w:val="004E055F"/>
    <w:rsid w:val="004E0919"/>
    <w:rsid w:val="004E6D23"/>
    <w:rsid w:val="004F2447"/>
    <w:rsid w:val="004F3355"/>
    <w:rsid w:val="00502D73"/>
    <w:rsid w:val="00505C4E"/>
    <w:rsid w:val="00507DE7"/>
    <w:rsid w:val="00512F2E"/>
    <w:rsid w:val="00534267"/>
    <w:rsid w:val="00543177"/>
    <w:rsid w:val="00543457"/>
    <w:rsid w:val="00547FF3"/>
    <w:rsid w:val="00551475"/>
    <w:rsid w:val="0056195B"/>
    <w:rsid w:val="005846EA"/>
    <w:rsid w:val="005902B0"/>
    <w:rsid w:val="0059786C"/>
    <w:rsid w:val="005A4663"/>
    <w:rsid w:val="005A7DC8"/>
    <w:rsid w:val="005B1D2B"/>
    <w:rsid w:val="005C3467"/>
    <w:rsid w:val="005D0343"/>
    <w:rsid w:val="005E373B"/>
    <w:rsid w:val="005E6D18"/>
    <w:rsid w:val="005E6DA2"/>
    <w:rsid w:val="005F09CD"/>
    <w:rsid w:val="00617C9B"/>
    <w:rsid w:val="006445BE"/>
    <w:rsid w:val="00646F9C"/>
    <w:rsid w:val="006544B9"/>
    <w:rsid w:val="006604A4"/>
    <w:rsid w:val="00675931"/>
    <w:rsid w:val="006834D6"/>
    <w:rsid w:val="00686B83"/>
    <w:rsid w:val="006A170A"/>
    <w:rsid w:val="006B075F"/>
    <w:rsid w:val="006D63E5"/>
    <w:rsid w:val="006D64DA"/>
    <w:rsid w:val="007007E7"/>
    <w:rsid w:val="00701425"/>
    <w:rsid w:val="0071737D"/>
    <w:rsid w:val="0072086B"/>
    <w:rsid w:val="00736462"/>
    <w:rsid w:val="00743548"/>
    <w:rsid w:val="00753BC2"/>
    <w:rsid w:val="00764E91"/>
    <w:rsid w:val="00776593"/>
    <w:rsid w:val="007802AB"/>
    <w:rsid w:val="00786E8F"/>
    <w:rsid w:val="0079043D"/>
    <w:rsid w:val="00796F35"/>
    <w:rsid w:val="007A7774"/>
    <w:rsid w:val="007C7F11"/>
    <w:rsid w:val="007E7B3B"/>
    <w:rsid w:val="007F2C01"/>
    <w:rsid w:val="007F4D65"/>
    <w:rsid w:val="00802C44"/>
    <w:rsid w:val="00820A09"/>
    <w:rsid w:val="008233F0"/>
    <w:rsid w:val="00823D10"/>
    <w:rsid w:val="00825A2D"/>
    <w:rsid w:val="00832AF5"/>
    <w:rsid w:val="0084276C"/>
    <w:rsid w:val="00856984"/>
    <w:rsid w:val="0086341F"/>
    <w:rsid w:val="00873BCC"/>
    <w:rsid w:val="00897CEB"/>
    <w:rsid w:val="008C51DA"/>
    <w:rsid w:val="008C5500"/>
    <w:rsid w:val="008D1512"/>
    <w:rsid w:val="008E14F7"/>
    <w:rsid w:val="008F22C5"/>
    <w:rsid w:val="008F4CEC"/>
    <w:rsid w:val="00903A62"/>
    <w:rsid w:val="009044AB"/>
    <w:rsid w:val="00906FB0"/>
    <w:rsid w:val="00915290"/>
    <w:rsid w:val="0096200B"/>
    <w:rsid w:val="009975CE"/>
    <w:rsid w:val="009A5F25"/>
    <w:rsid w:val="009B0EB6"/>
    <w:rsid w:val="009C3FEB"/>
    <w:rsid w:val="009D08E5"/>
    <w:rsid w:val="009D1847"/>
    <w:rsid w:val="00A04CFF"/>
    <w:rsid w:val="00A20B67"/>
    <w:rsid w:val="00A20F58"/>
    <w:rsid w:val="00A3386C"/>
    <w:rsid w:val="00A52A1E"/>
    <w:rsid w:val="00A75F0C"/>
    <w:rsid w:val="00A85581"/>
    <w:rsid w:val="00A877C4"/>
    <w:rsid w:val="00A90A31"/>
    <w:rsid w:val="00A933A6"/>
    <w:rsid w:val="00AA210C"/>
    <w:rsid w:val="00AB07BF"/>
    <w:rsid w:val="00AB6C0D"/>
    <w:rsid w:val="00AC33D2"/>
    <w:rsid w:val="00AD669A"/>
    <w:rsid w:val="00AD7497"/>
    <w:rsid w:val="00AE3E2E"/>
    <w:rsid w:val="00AE4E61"/>
    <w:rsid w:val="00AF3A8A"/>
    <w:rsid w:val="00B00D37"/>
    <w:rsid w:val="00B00EFC"/>
    <w:rsid w:val="00B01467"/>
    <w:rsid w:val="00B07D19"/>
    <w:rsid w:val="00B24B5D"/>
    <w:rsid w:val="00B35EEF"/>
    <w:rsid w:val="00B55580"/>
    <w:rsid w:val="00B653ED"/>
    <w:rsid w:val="00B663FD"/>
    <w:rsid w:val="00B713F1"/>
    <w:rsid w:val="00B71C12"/>
    <w:rsid w:val="00B743D4"/>
    <w:rsid w:val="00B75AFA"/>
    <w:rsid w:val="00B77B7A"/>
    <w:rsid w:val="00B81AD9"/>
    <w:rsid w:val="00B90415"/>
    <w:rsid w:val="00B90866"/>
    <w:rsid w:val="00B920B7"/>
    <w:rsid w:val="00B93DD5"/>
    <w:rsid w:val="00BB632D"/>
    <w:rsid w:val="00BE6554"/>
    <w:rsid w:val="00BF5051"/>
    <w:rsid w:val="00C0140E"/>
    <w:rsid w:val="00C31D52"/>
    <w:rsid w:val="00C35CFC"/>
    <w:rsid w:val="00C455FA"/>
    <w:rsid w:val="00C51635"/>
    <w:rsid w:val="00C536AC"/>
    <w:rsid w:val="00C62B9B"/>
    <w:rsid w:val="00C71DF0"/>
    <w:rsid w:val="00C76517"/>
    <w:rsid w:val="00C95534"/>
    <w:rsid w:val="00C96C12"/>
    <w:rsid w:val="00CA4410"/>
    <w:rsid w:val="00CB67AE"/>
    <w:rsid w:val="00CD075F"/>
    <w:rsid w:val="00CF43B3"/>
    <w:rsid w:val="00D11845"/>
    <w:rsid w:val="00D11DD0"/>
    <w:rsid w:val="00D132ED"/>
    <w:rsid w:val="00D14CE7"/>
    <w:rsid w:val="00D33544"/>
    <w:rsid w:val="00D33C51"/>
    <w:rsid w:val="00D3748F"/>
    <w:rsid w:val="00D42268"/>
    <w:rsid w:val="00D63CC1"/>
    <w:rsid w:val="00D652F0"/>
    <w:rsid w:val="00D839C8"/>
    <w:rsid w:val="00D95876"/>
    <w:rsid w:val="00DA796B"/>
    <w:rsid w:val="00DB22EB"/>
    <w:rsid w:val="00DB7D1B"/>
    <w:rsid w:val="00DC2F69"/>
    <w:rsid w:val="00DD0180"/>
    <w:rsid w:val="00DD35B0"/>
    <w:rsid w:val="00DE62AD"/>
    <w:rsid w:val="00DE7083"/>
    <w:rsid w:val="00DF576F"/>
    <w:rsid w:val="00E00430"/>
    <w:rsid w:val="00E02D58"/>
    <w:rsid w:val="00E62ED1"/>
    <w:rsid w:val="00E66F7A"/>
    <w:rsid w:val="00E6790F"/>
    <w:rsid w:val="00E75AAD"/>
    <w:rsid w:val="00E7678D"/>
    <w:rsid w:val="00E80EAC"/>
    <w:rsid w:val="00E855BA"/>
    <w:rsid w:val="00E86AEE"/>
    <w:rsid w:val="00E87C35"/>
    <w:rsid w:val="00E93A46"/>
    <w:rsid w:val="00E94ED1"/>
    <w:rsid w:val="00EC072D"/>
    <w:rsid w:val="00EC1AE4"/>
    <w:rsid w:val="00ED0D2F"/>
    <w:rsid w:val="00EF2F55"/>
    <w:rsid w:val="00F034A4"/>
    <w:rsid w:val="00F046A3"/>
    <w:rsid w:val="00F361EE"/>
    <w:rsid w:val="00F50FB9"/>
    <w:rsid w:val="00F52041"/>
    <w:rsid w:val="00F8027F"/>
    <w:rsid w:val="00F84BDE"/>
    <w:rsid w:val="00F85D05"/>
    <w:rsid w:val="00F97C1B"/>
    <w:rsid w:val="00FA5C22"/>
    <w:rsid w:val="00FC01A1"/>
    <w:rsid w:val="00FC5276"/>
    <w:rsid w:val="00FC7E88"/>
    <w:rsid w:val="00FD1AEA"/>
    <w:rsid w:val="00FD2EFC"/>
    <w:rsid w:val="00FD647F"/>
    <w:rsid w:val="00FD750F"/>
    <w:rsid w:val="00FE1A33"/>
    <w:rsid w:val="00FE5CF9"/>
    <w:rsid w:val="00FF03AD"/>
    <w:rsid w:val="022332DC"/>
    <w:rsid w:val="071C7AC2"/>
    <w:rsid w:val="07916D02"/>
    <w:rsid w:val="09481E64"/>
    <w:rsid w:val="115F7808"/>
    <w:rsid w:val="142756FB"/>
    <w:rsid w:val="1452646B"/>
    <w:rsid w:val="1E3B2CD3"/>
    <w:rsid w:val="246C0562"/>
    <w:rsid w:val="2D2E5BD6"/>
    <w:rsid w:val="3653265F"/>
    <w:rsid w:val="41424CE5"/>
    <w:rsid w:val="42EB2AB0"/>
    <w:rsid w:val="49D53D94"/>
    <w:rsid w:val="5A121113"/>
    <w:rsid w:val="5B2C75CB"/>
    <w:rsid w:val="5E1727B1"/>
    <w:rsid w:val="64FF384C"/>
    <w:rsid w:val="6A592227"/>
    <w:rsid w:val="78C70107"/>
    <w:rsid w:val="7F437442"/>
    <w:rsid w:val="BBDF79DE"/>
    <w:rsid w:val="BFFB5A7C"/>
    <w:rsid w:val="FA373E24"/>
    <w:rsid w:val="FDADB621"/>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0"/>
    <w:rPr>
      <w:rFonts w:eastAsia="仿宋_GB2312"/>
      <w:sz w:val="32"/>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page number"/>
    <w:basedOn w:val="7"/>
    <w:qFormat/>
    <w:uiPriority w:val="0"/>
  </w:style>
  <w:style w:type="character" w:styleId="9">
    <w:name w:val="FollowedHyperlink"/>
    <w:basedOn w:val="7"/>
    <w:qFormat/>
    <w:uiPriority w:val="0"/>
    <w:rPr>
      <w:color w:val="333333"/>
      <w:u w:val="single"/>
    </w:rPr>
  </w:style>
  <w:style w:type="character" w:styleId="10">
    <w:name w:val="Hyperlink"/>
    <w:basedOn w:val="7"/>
    <w:qFormat/>
    <w:uiPriority w:val="0"/>
    <w:rPr>
      <w:color w:val="333333"/>
      <w:u w:val="none"/>
    </w:rPr>
  </w:style>
  <w:style w:type="character" w:customStyle="1" w:styleId="11">
    <w:name w:val="正文文本 Char"/>
    <w:basedOn w:val="7"/>
    <w:link w:val="2"/>
    <w:semiHidden/>
    <w:qFormat/>
    <w:uiPriority w:val="0"/>
    <w:rPr>
      <w:rFonts w:eastAsia="仿宋_GB2312"/>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5</Pages>
  <Words>343</Words>
  <Characters>1961</Characters>
  <Lines>16</Lines>
  <Paragraphs>4</Paragraphs>
  <TotalTime>1</TotalTime>
  <ScaleCrop>false</ScaleCrop>
  <LinksUpToDate>false</LinksUpToDate>
  <CharactersWithSpaces>2300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2020-07-11T09:25:00Z</dcterms:created>
  <dc:creator>lenovo</dc:creator>
  <cp:lastModifiedBy>admin</cp:lastModifiedBy>
  <cp:lastPrinted>2020-01-17T02:17:00Z</cp:lastPrinted>
  <dcterms:modified xsi:type="dcterms:W3CDTF">2021-04-15T11:46:25Z</dcterms:modified>
  <dc:title>蓟州政办发〔2017〕36号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