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78" w:lineRule="auto"/>
        <w:jc w:val="center"/>
        <w:rPr>
          <w:rFonts w:hint="eastAsia" w:ascii="方正小标宋简体" w:hAnsi="方正小标宋简体" w:eastAsia="方正小标宋简体" w:cs="方正小标宋简体"/>
          <w:color w:val="auto"/>
          <w:sz w:val="84"/>
          <w:szCs w:val="84"/>
          <w:lang w:eastAsia="zh"/>
        </w:rPr>
      </w:pPr>
      <w:bookmarkStart w:id="0" w:name="_Toc22948"/>
      <w:r>
        <w:rPr>
          <w:rFonts w:hint="eastAsia" w:ascii="方正小标宋简体" w:hAnsi="方正小标宋简体" w:eastAsia="方正小标宋简体" w:cs="方正小标宋简体"/>
          <w:color w:val="auto"/>
          <w:sz w:val="84"/>
          <w:szCs w:val="84"/>
          <w:lang w:eastAsia="zh-CN"/>
        </w:rPr>
        <w:t>天津市宁河区生态环境准入清单</w:t>
      </w:r>
      <w:bookmarkEnd w:id="0"/>
    </w:p>
    <w:p>
      <w:pPr>
        <w:spacing w:after="160" w:line="278" w:lineRule="auto"/>
        <w:jc w:val="center"/>
        <w:rPr>
          <w:rFonts w:hint="eastAsia" w:ascii="方正小标宋简体" w:hAnsi="方正小标宋简体" w:eastAsia="方正小标宋简体" w:cs="方正小标宋简体"/>
          <w:color w:val="auto"/>
          <w:sz w:val="52"/>
          <w:szCs w:val="52"/>
          <w:lang w:eastAsia="zh"/>
        </w:rPr>
      </w:pPr>
      <w:bookmarkStart w:id="1" w:name="_Toc11405"/>
      <w:r>
        <w:rPr>
          <w:rFonts w:hint="eastAsia" w:ascii="方正小标宋简体" w:hAnsi="方正小标宋简体" w:eastAsia="方正小标宋简体" w:cs="方正小标宋简体"/>
          <w:color w:val="auto"/>
          <w:sz w:val="52"/>
          <w:szCs w:val="52"/>
          <w:lang w:eastAsia="zh"/>
        </w:rPr>
        <w:t>(2024年</w:t>
      </w:r>
      <w:r>
        <w:rPr>
          <w:rFonts w:hint="eastAsia" w:ascii="方正小标宋简体" w:hAnsi="方正小标宋简体" w:eastAsia="方正小标宋简体" w:cs="方正小标宋简体"/>
          <w:color w:val="auto"/>
          <w:sz w:val="52"/>
          <w:szCs w:val="52"/>
          <w:lang w:eastAsia="zh-CN"/>
        </w:rPr>
        <w:t>动态更新</w:t>
      </w:r>
      <w:bookmarkEnd w:id="1"/>
      <w:r>
        <w:rPr>
          <w:rFonts w:hint="eastAsia" w:ascii="方正小标宋简体" w:hAnsi="方正小标宋简体" w:eastAsia="方正小标宋简体" w:cs="方正小标宋简体"/>
          <w:color w:val="auto"/>
          <w:sz w:val="52"/>
          <w:szCs w:val="52"/>
          <w:lang w:eastAsia="zh"/>
        </w:rPr>
        <w:t>)</w:t>
      </w:r>
    </w:p>
    <w:p>
      <w:pPr>
        <w:spacing w:after="160" w:line="278" w:lineRule="auto"/>
        <w:rPr>
          <w:color w:val="auto"/>
          <w:lang w:eastAsia="zh-CN"/>
        </w:rPr>
      </w:pPr>
    </w:p>
    <w:p>
      <w:pPr>
        <w:spacing w:after="160" w:line="278" w:lineRule="auto"/>
        <w:rPr>
          <w:color w:val="auto"/>
          <w:lang w:eastAsia="zh-CN"/>
        </w:rPr>
      </w:pPr>
    </w:p>
    <w:p>
      <w:pPr>
        <w:spacing w:after="160" w:line="278" w:lineRule="auto"/>
        <w:rPr>
          <w:color w:val="auto"/>
          <w:lang w:eastAsia="zh-CN"/>
        </w:rPr>
      </w:pPr>
    </w:p>
    <w:p>
      <w:pPr>
        <w:spacing w:after="160" w:line="278" w:lineRule="auto"/>
        <w:rPr>
          <w:color w:val="auto"/>
          <w:lang w:eastAsia="zh-CN"/>
        </w:rPr>
      </w:pPr>
    </w:p>
    <w:p>
      <w:pPr>
        <w:spacing w:after="160" w:line="278" w:lineRule="auto"/>
        <w:rPr>
          <w:color w:val="auto"/>
          <w:lang w:eastAsia="zh-CN"/>
        </w:rPr>
      </w:pPr>
    </w:p>
    <w:p>
      <w:pPr>
        <w:spacing w:after="160" w:line="278" w:lineRule="auto"/>
        <w:rPr>
          <w:color w:val="auto"/>
          <w:lang w:eastAsia="zh-CN"/>
        </w:rPr>
      </w:pPr>
    </w:p>
    <w:p>
      <w:pPr>
        <w:spacing w:after="160" w:line="278" w:lineRule="auto"/>
        <w:rPr>
          <w:rFonts w:hint="eastAsia" w:eastAsia="Arial"/>
          <w:color w:val="auto"/>
          <w:lang w:eastAsia="zh"/>
        </w:rPr>
      </w:pPr>
    </w:p>
    <w:p>
      <w:pPr>
        <w:spacing w:after="160" w:line="278" w:lineRule="auto"/>
        <w:rPr>
          <w:color w:val="auto"/>
          <w:lang w:eastAsia="zh-CN"/>
        </w:rPr>
      </w:pPr>
    </w:p>
    <w:p>
      <w:pPr>
        <w:spacing w:after="160" w:line="278" w:lineRule="auto"/>
        <w:rPr>
          <w:color w:val="auto"/>
          <w:lang w:eastAsia="zh-CN"/>
        </w:rPr>
      </w:pPr>
    </w:p>
    <w:p>
      <w:pPr>
        <w:spacing w:after="160" w:line="278" w:lineRule="auto"/>
        <w:rPr>
          <w:color w:val="auto"/>
          <w:lang w:eastAsia="zh-CN"/>
        </w:rPr>
      </w:pPr>
    </w:p>
    <w:p>
      <w:pPr>
        <w:spacing w:after="160" w:line="278" w:lineRule="auto"/>
        <w:rPr>
          <w:color w:val="auto"/>
          <w:lang w:eastAsia="zh-CN"/>
        </w:rPr>
      </w:pPr>
    </w:p>
    <w:p>
      <w:pPr>
        <w:spacing w:after="160" w:line="278" w:lineRule="auto"/>
        <w:rPr>
          <w:color w:val="auto"/>
          <w:lang w:eastAsia="zh-CN"/>
        </w:rPr>
      </w:pPr>
    </w:p>
    <w:p>
      <w:pPr>
        <w:spacing w:after="160" w:line="278" w:lineRule="auto"/>
        <w:rPr>
          <w:color w:val="auto"/>
          <w:lang w:eastAsia="zh-CN"/>
        </w:rPr>
      </w:pPr>
    </w:p>
    <w:p>
      <w:pPr>
        <w:spacing w:after="160" w:line="278" w:lineRule="auto"/>
        <w:rPr>
          <w:color w:val="auto"/>
          <w:lang w:eastAsia="zh-CN"/>
        </w:rPr>
      </w:pPr>
    </w:p>
    <w:p>
      <w:pPr>
        <w:spacing w:after="160" w:line="278" w:lineRule="auto"/>
        <w:rPr>
          <w:color w:val="auto"/>
          <w:sz w:val="44"/>
          <w:szCs w:val="44"/>
          <w:lang w:eastAsia="zh-CN"/>
        </w:rPr>
      </w:pPr>
    </w:p>
    <w:p>
      <w:pPr>
        <w:spacing w:after="160" w:line="278" w:lineRule="auto"/>
        <w:jc w:val="center"/>
        <w:rPr>
          <w:rFonts w:ascii="Times New Roman" w:hAnsi="Times New Roman" w:eastAsia="黑体" w:cs="Times New Roman"/>
          <w:color w:val="auto"/>
          <w:sz w:val="44"/>
          <w:szCs w:val="44"/>
          <w:lang w:eastAsia="zh-CN"/>
        </w:rPr>
      </w:pPr>
      <w:bookmarkStart w:id="2" w:name="_Toc3587"/>
      <w:r>
        <w:rPr>
          <w:rFonts w:ascii="Times New Roman" w:hAnsi="Times New Roman" w:eastAsia="黑体" w:cs="Times New Roman"/>
          <w:color w:val="auto"/>
          <w:sz w:val="44"/>
          <w:szCs w:val="44"/>
          <w:lang w:eastAsia="zh-CN"/>
        </w:rPr>
        <w:t>天津市</w:t>
      </w:r>
      <w:r>
        <w:rPr>
          <w:rFonts w:hint="eastAsia" w:ascii="Times New Roman" w:hAnsi="Times New Roman" w:eastAsia="黑体" w:cs="Times New Roman"/>
          <w:color w:val="auto"/>
          <w:sz w:val="44"/>
          <w:szCs w:val="44"/>
          <w:lang w:eastAsia="zh-CN"/>
        </w:rPr>
        <w:t>宁河</w:t>
      </w:r>
      <w:r>
        <w:rPr>
          <w:rFonts w:ascii="Times New Roman" w:hAnsi="Times New Roman" w:eastAsia="黑体" w:cs="Times New Roman"/>
          <w:color w:val="auto"/>
          <w:sz w:val="44"/>
          <w:szCs w:val="44"/>
          <w:lang w:eastAsia="zh-CN"/>
        </w:rPr>
        <w:t>区生态环境局</w:t>
      </w:r>
    </w:p>
    <w:p>
      <w:pPr>
        <w:spacing w:after="160" w:line="278" w:lineRule="auto"/>
        <w:jc w:val="center"/>
        <w:rPr>
          <w:rFonts w:ascii="Times New Roman" w:hAnsi="Times New Roman" w:eastAsia="黑体" w:cs="Times New Roman"/>
          <w:color w:val="auto"/>
          <w:sz w:val="44"/>
          <w:szCs w:val="44"/>
          <w:lang w:eastAsia="zh-CN"/>
        </w:rPr>
      </w:pPr>
      <w:r>
        <w:rPr>
          <w:rFonts w:ascii="Times New Roman" w:hAnsi="Times New Roman" w:eastAsia="黑体" w:cs="Times New Roman"/>
          <w:color w:val="auto"/>
          <w:sz w:val="44"/>
          <w:szCs w:val="44"/>
          <w:lang w:eastAsia="zh-CN"/>
        </w:rPr>
        <w:t>202</w:t>
      </w:r>
      <w:r>
        <w:rPr>
          <w:rFonts w:hint="eastAsia" w:ascii="Times New Roman" w:hAnsi="Times New Roman" w:eastAsia="黑体" w:cs="Times New Roman"/>
          <w:color w:val="auto"/>
          <w:sz w:val="44"/>
          <w:szCs w:val="44"/>
          <w:lang w:val="en-US" w:eastAsia="zh-CN"/>
        </w:rPr>
        <w:t>5</w:t>
      </w:r>
      <w:r>
        <w:rPr>
          <w:rFonts w:ascii="Times New Roman" w:hAnsi="Times New Roman" w:eastAsia="黑体" w:cs="Times New Roman"/>
          <w:color w:val="auto"/>
          <w:sz w:val="44"/>
          <w:szCs w:val="44"/>
          <w:lang w:eastAsia="zh-CN"/>
        </w:rPr>
        <w:t>年</w:t>
      </w:r>
      <w:r>
        <w:rPr>
          <w:rFonts w:hint="eastAsia" w:ascii="Times New Roman" w:hAnsi="Times New Roman" w:eastAsia="黑体" w:cs="Times New Roman"/>
          <w:color w:val="auto"/>
          <w:sz w:val="44"/>
          <w:szCs w:val="44"/>
          <w:lang w:val="en-US" w:eastAsia="zh-CN"/>
        </w:rPr>
        <w:t>5</w:t>
      </w:r>
      <w:r>
        <w:rPr>
          <w:rFonts w:ascii="Times New Roman" w:hAnsi="Times New Roman" w:eastAsia="黑体" w:cs="Times New Roman"/>
          <w:color w:val="auto"/>
          <w:sz w:val="44"/>
          <w:szCs w:val="44"/>
          <w:lang w:eastAsia="zh-CN"/>
        </w:rPr>
        <w:t>月</w:t>
      </w:r>
      <w:bookmarkEnd w:id="2"/>
    </w:p>
    <w:p>
      <w:pPr>
        <w:spacing w:after="160" w:line="278" w:lineRule="auto"/>
        <w:jc w:val="center"/>
        <w:rPr>
          <w:rFonts w:ascii="Times New Roman" w:hAnsi="Times New Roman" w:eastAsia="黑体" w:cs="Times New Roman"/>
          <w:color w:val="auto"/>
          <w:sz w:val="32"/>
          <w:szCs w:val="32"/>
          <w:lang w:eastAsia="zh-CN"/>
        </w:rPr>
      </w:pPr>
    </w:p>
    <w:p>
      <w:pPr>
        <w:spacing w:after="160" w:line="278" w:lineRule="auto"/>
        <w:rPr>
          <w:rFonts w:hint="eastAsia" w:ascii="宋体" w:hAnsi="宋体" w:eastAsia="宋体" w:cs="宋体"/>
          <w:b/>
          <w:bCs/>
          <w:snapToGrid/>
          <w:color w:val="auto"/>
          <w:spacing w:val="11"/>
          <w:kern w:val="2"/>
          <w:sz w:val="32"/>
          <w:szCs w:val="32"/>
          <w:lang w:eastAsia="zh-CN"/>
        </w:rPr>
      </w:pPr>
    </w:p>
    <w:p>
      <w:pPr>
        <w:kinsoku/>
        <w:autoSpaceDE/>
        <w:autoSpaceDN/>
        <w:adjustRightInd/>
        <w:snapToGrid/>
        <w:textAlignment w:val="auto"/>
        <w:rPr>
          <w:rFonts w:hint="eastAsia" w:ascii="宋体" w:hAnsi="宋体" w:eastAsia="宋体"/>
          <w:lang w:eastAsia="zh-CN"/>
        </w:rPr>
      </w:pPr>
    </w:p>
    <w:p>
      <w:pPr>
        <w:jc w:val="center"/>
        <w:rPr>
          <w:rFonts w:hint="eastAsia" w:ascii="宋体" w:hAnsi="宋体" w:eastAsia="宋体"/>
          <w:lang w:eastAsia="zh-CN"/>
        </w:rPr>
      </w:pPr>
    </w:p>
    <w:p>
      <w:pPr>
        <w:jc w:val="center"/>
        <w:rPr>
          <w:rFonts w:hint="eastAsia" w:ascii="宋体" w:hAnsi="宋体" w:eastAsia="宋体"/>
          <w:lang w:eastAsia="zh-CN"/>
        </w:rPr>
      </w:pPr>
    </w:p>
    <w:p>
      <w:pPr>
        <w:jc w:val="center"/>
        <w:rPr>
          <w:rFonts w:hint="eastAsia" w:ascii="宋体" w:hAnsi="宋体" w:eastAsia="宋体"/>
          <w:lang w:eastAsia="zh-CN"/>
        </w:rPr>
      </w:pPr>
    </w:p>
    <w:p>
      <w:pPr>
        <w:jc w:val="center"/>
        <w:rPr>
          <w:rFonts w:hint="eastAsia" w:ascii="宋体" w:hAnsi="宋体" w:eastAsia="宋体"/>
          <w:lang w:eastAsia="zh-CN"/>
        </w:rPr>
      </w:pPr>
    </w:p>
    <w:p>
      <w:pPr>
        <w:spacing w:before="56" w:line="219" w:lineRule="auto"/>
        <w:rPr>
          <w:rFonts w:hint="eastAsia" w:ascii="仿宋" w:hAnsi="仿宋" w:eastAsia="仿宋" w:cs="仿宋"/>
          <w:sz w:val="28"/>
          <w:szCs w:val="28"/>
          <w:lang w:eastAsia="zh-CN"/>
        </w:rPr>
        <w:sectPr>
          <w:footerReference r:id="rId3" w:type="default"/>
          <w:pgSz w:w="23811" w:h="16839" w:orient="landscape"/>
          <w:pgMar w:top="1465" w:right="1495" w:bottom="1358" w:left="1169" w:header="0" w:footer="918" w:gutter="0"/>
          <w:pgNumType w:fmt="decimal" w:start="1"/>
          <w:cols w:space="720" w:num="1"/>
        </w:sectPr>
      </w:pPr>
    </w:p>
    <w:sdt>
      <w:sdtPr>
        <w:rPr>
          <w:rFonts w:hint="eastAsia" w:ascii="方正小标宋简体" w:hAnsi="方正小标宋简体" w:eastAsia="方正小标宋简体" w:cs="方正小标宋简体"/>
          <w:snapToGrid w:val="0"/>
          <w:color w:val="000000"/>
          <w:kern w:val="0"/>
          <w:sz w:val="40"/>
          <w:szCs w:val="40"/>
          <w:lang w:val="en-US" w:eastAsia="en-US" w:bidi="ar-SA"/>
        </w:rPr>
        <w:id w:val="866424262"/>
        <w15:color w:val="DBDBDB"/>
        <w:docPartObj>
          <w:docPartGallery w:val="Table of Contents"/>
          <w:docPartUnique/>
        </w:docPartObj>
      </w:sdtPr>
      <w:sdtEndPr>
        <w:rPr>
          <w:rFonts w:hint="eastAsia" w:ascii="仿宋" w:hAnsi="仿宋" w:eastAsia="仿宋" w:cs="仿宋"/>
          <w:snapToGrid w:val="0"/>
          <w:color w:val="000000"/>
          <w:kern w:val="0"/>
          <w:sz w:val="21"/>
          <w:szCs w:val="28"/>
          <w:lang w:val="en-US" w:eastAsia="zh" w:bidi="ar-SA"/>
        </w:rPr>
      </w:sdtEndPr>
      <w:sdtContent>
        <w:p>
          <w:pPr>
            <w:spacing w:before="0" w:beforeLines="0" w:after="0" w:afterLines="0" w:line="360" w:lineRule="auto"/>
            <w:ind w:left="0" w:leftChars="0" w:right="0" w:righ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目</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录</w:t>
          </w:r>
        </w:p>
        <w:p>
          <w:pPr>
            <w:pStyle w:val="7"/>
            <w:tabs>
              <w:tab w:val="right" w:leader="dot" w:pos="21147"/>
            </w:tabs>
            <w:spacing w:line="360" w:lineRule="auto"/>
            <w:rPr>
              <w:sz w:val="28"/>
              <w:szCs w:val="28"/>
            </w:rPr>
          </w:pPr>
          <w:r>
            <w:rPr>
              <w:sz w:val="28"/>
              <w:szCs w:val="28"/>
            </w:rPr>
            <w:fldChar w:fldCharType="begin"/>
          </w:r>
          <w:r>
            <w:rPr>
              <w:sz w:val="28"/>
              <w:szCs w:val="28"/>
            </w:rPr>
            <w:instrText xml:space="preserve">TOC \o "1-9" \t "目录" \h \u </w:instrText>
          </w:r>
          <w:r>
            <w:rPr>
              <w:sz w:val="28"/>
              <w:szCs w:val="28"/>
            </w:rPr>
            <w:fldChar w:fldCharType="separate"/>
          </w:r>
          <w:r>
            <w:rPr>
              <w:sz w:val="28"/>
              <w:szCs w:val="28"/>
            </w:rPr>
            <w:fldChar w:fldCharType="begin"/>
          </w:r>
          <w:r>
            <w:rPr>
              <w:sz w:val="28"/>
              <w:szCs w:val="28"/>
            </w:rPr>
            <w:instrText xml:space="preserve"> HYPERLINK \l _Toc515738256 </w:instrText>
          </w:r>
          <w:r>
            <w:rPr>
              <w:sz w:val="28"/>
              <w:szCs w:val="28"/>
            </w:rPr>
            <w:fldChar w:fldCharType="separate"/>
          </w:r>
          <w:r>
            <w:rPr>
              <w:rFonts w:hint="eastAsia" w:ascii="Times New Roman" w:hAnsi="Times New Roman" w:eastAsia="黑体" w:cs="Times New Roman"/>
              <w:bCs/>
              <w:snapToGrid/>
              <w:kern w:val="44"/>
              <w:sz w:val="28"/>
              <w:szCs w:val="28"/>
              <w:lang w:eastAsia="zh-CN"/>
            </w:rPr>
            <w:t>一．天津市生态环境准入清单宁河区区级管控要求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_Toc515738256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sz w:val="28"/>
              <w:szCs w:val="28"/>
            </w:rPr>
            <w:fldChar w:fldCharType="end"/>
          </w:r>
        </w:p>
        <w:p>
          <w:pPr>
            <w:pStyle w:val="7"/>
            <w:tabs>
              <w:tab w:val="right" w:leader="dot" w:pos="21147"/>
            </w:tabs>
            <w:spacing w:line="360" w:lineRule="auto"/>
            <w:rPr>
              <w:sz w:val="28"/>
              <w:szCs w:val="28"/>
            </w:rPr>
          </w:pPr>
          <w:r>
            <w:rPr>
              <w:sz w:val="28"/>
              <w:szCs w:val="28"/>
            </w:rPr>
            <w:fldChar w:fldCharType="begin"/>
          </w:r>
          <w:r>
            <w:rPr>
              <w:sz w:val="28"/>
              <w:szCs w:val="28"/>
            </w:rPr>
            <w:instrText xml:space="preserve"> HYPERLINK \l _Toc943475970 </w:instrText>
          </w:r>
          <w:r>
            <w:rPr>
              <w:sz w:val="28"/>
              <w:szCs w:val="28"/>
            </w:rPr>
            <w:fldChar w:fldCharType="separate"/>
          </w:r>
          <w:r>
            <w:rPr>
              <w:rFonts w:hint="eastAsia" w:ascii="Times New Roman" w:hAnsi="Times New Roman" w:eastAsia="黑体" w:cs="Times New Roman"/>
              <w:bCs/>
              <w:snapToGrid/>
              <w:kern w:val="44"/>
              <w:sz w:val="28"/>
              <w:szCs w:val="28"/>
              <w:lang w:eastAsia="zh-CN"/>
            </w:rPr>
            <w:t>二．天津市生态环境准入清单</w:t>
          </w:r>
          <w:r>
            <w:rPr>
              <w:rFonts w:ascii="Times New Roman" w:hAnsi="Times New Roman" w:eastAsia="黑体" w:cs="Times New Roman"/>
              <w:bCs/>
              <w:snapToGrid/>
              <w:kern w:val="44"/>
              <w:sz w:val="28"/>
              <w:szCs w:val="28"/>
              <w:lang w:eastAsia="zh-CN"/>
            </w:rPr>
            <w:t>宁河区</w:t>
          </w:r>
          <w:r>
            <w:rPr>
              <w:rFonts w:hint="eastAsia" w:ascii="Times New Roman" w:hAnsi="Times New Roman" w:eastAsia="黑体" w:cs="Times New Roman"/>
              <w:bCs/>
              <w:snapToGrid/>
              <w:kern w:val="44"/>
              <w:sz w:val="28"/>
              <w:szCs w:val="28"/>
              <w:lang w:eastAsia="zh-CN"/>
            </w:rPr>
            <w:t>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_Toc943475970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_Toc1425626275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1.宁河区优先保护单元管控要求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_Toc1425626275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_Toc673805725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1.1宁河区生态保护红线单元管控要求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_Toc673805725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_Toc1478040061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1.2宁河区一般生态空间单元管控要求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_Toc1478040061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_Toc867695133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2.宁河区重点管控单元管控要求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_Toc867695133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_Toc1074006304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2.1宁河区宁河经济开发区单元管控要求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_Toc1074006304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_Toc943830720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2.2宁河区天津潘庄工业区单元管控要求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_Toc943830720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_Toc966573347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2.3宁河区天津市宁河现代产业区单元管控要求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_Toc966573347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_Toc131414207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2.4宁河区未来科技城拓展区单元管控要求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_Toc131414207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_Toc758057048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2.5宁河区区级产业园区管控要求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_Toc758057048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_Toc600311398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2.6宁河区水污染农业重点管控单元管控要求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_Toc600311398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_Toc2000597709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2.7宁河区水污染农业重点管控和大气污染受体敏感重点管控单元管控要求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_Toc2000597709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7"/>
            <w:tabs>
              <w:tab w:val="right" w:leader="dot" w:pos="21147"/>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_Toc144686850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napToGrid/>
              <w:kern w:val="2"/>
              <w:sz w:val="28"/>
              <w:szCs w:val="28"/>
              <w:lang w:eastAsia="zh-CN"/>
            </w:rPr>
            <w:t>3.宁河区一般管控单元管控要求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_Toc144686850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spacing w:before="56" w:line="360" w:lineRule="auto"/>
            <w:rPr>
              <w:rFonts w:hint="eastAsia" w:ascii="仿宋" w:hAnsi="仿宋" w:eastAsia="仿宋" w:cs="仿宋"/>
              <w:snapToGrid w:val="0"/>
              <w:color w:val="000000"/>
              <w:kern w:val="0"/>
              <w:sz w:val="21"/>
              <w:szCs w:val="28"/>
              <w:lang w:val="en-US" w:eastAsia="zh" w:bidi="ar-SA"/>
            </w:rPr>
          </w:pPr>
          <w:r>
            <w:rPr>
              <w:sz w:val="28"/>
              <w:szCs w:val="28"/>
            </w:rPr>
            <w:fldChar w:fldCharType="end"/>
          </w:r>
        </w:p>
      </w:sdtContent>
    </w:sdt>
    <w:p>
      <w:pPr>
        <w:spacing w:before="56" w:line="360" w:lineRule="auto"/>
        <w:rPr>
          <w:rFonts w:hint="eastAsia" w:ascii="仿宋" w:hAnsi="仿宋" w:eastAsia="仿宋" w:cs="仿宋"/>
          <w:snapToGrid w:val="0"/>
          <w:color w:val="000000"/>
          <w:kern w:val="0"/>
          <w:sz w:val="21"/>
          <w:szCs w:val="28"/>
          <w:lang w:val="en-US" w:eastAsia="zh" w:bidi="ar-SA"/>
        </w:rPr>
        <w:sectPr>
          <w:pgSz w:w="23811" w:h="16839" w:orient="landscape"/>
          <w:pgMar w:top="1465" w:right="1495" w:bottom="1358" w:left="1169" w:header="0" w:footer="918" w:gutter="0"/>
          <w:pgNumType w:fmt="decimal"/>
          <w:cols w:space="720" w:num="1"/>
        </w:sectPr>
      </w:pPr>
    </w:p>
    <w:p>
      <w:pPr>
        <w:spacing w:before="94" w:after="160" w:line="219" w:lineRule="auto"/>
        <w:outlineLvl w:val="0"/>
        <w:rPr>
          <w:rFonts w:ascii="Times New Roman" w:hAnsi="Times New Roman" w:eastAsia="黑体" w:cs="Times New Roman"/>
          <w:bCs/>
          <w:snapToGrid/>
          <w:color w:val="auto"/>
          <w:kern w:val="44"/>
          <w:sz w:val="44"/>
          <w:szCs w:val="44"/>
          <w:lang w:eastAsia="zh-CN"/>
        </w:rPr>
      </w:pPr>
      <w:bookmarkStart w:id="3" w:name="_Toc413167455"/>
      <w:bookmarkStart w:id="4" w:name="_Toc7841532"/>
      <w:bookmarkStart w:id="5" w:name="_Toc515738256"/>
      <w:bookmarkStart w:id="6" w:name="_Toc1347252479"/>
      <w:bookmarkStart w:id="7" w:name="_Toc281059385"/>
      <w:bookmarkStart w:id="8" w:name="_Toc331767553"/>
      <w:bookmarkStart w:id="9" w:name="_Toc1532185800"/>
      <w:r>
        <w:rPr>
          <w:rFonts w:hint="eastAsia" w:ascii="Times New Roman" w:hAnsi="Times New Roman" w:eastAsia="黑体" w:cs="Times New Roman"/>
          <w:bCs/>
          <w:snapToGrid/>
          <w:color w:val="auto"/>
          <w:kern w:val="44"/>
          <w:sz w:val="44"/>
          <w:szCs w:val="44"/>
          <w:lang w:eastAsia="zh-CN"/>
        </w:rPr>
        <w:t>一．天津市生态环境准入清单宁河区区级管控要求</w:t>
      </w:r>
      <w:bookmarkEnd w:id="3"/>
      <w:bookmarkEnd w:id="4"/>
      <w:bookmarkEnd w:id="5"/>
      <w:bookmarkEnd w:id="6"/>
      <w:bookmarkEnd w:id="7"/>
      <w:bookmarkEnd w:id="8"/>
      <w:bookmarkEnd w:id="9"/>
    </w:p>
    <w:p>
      <w:pPr>
        <w:spacing w:line="440" w:lineRule="exact"/>
        <w:ind w:firstLine="560" w:firstLineChars="200"/>
        <w:rPr>
          <w:rFonts w:ascii="Times New Roman" w:hAnsi="Times New Roman" w:eastAsia="仿宋" w:cs="Times New Roman"/>
          <w:sz w:val="28"/>
          <w:szCs w:val="24"/>
          <w:lang w:eastAsia="zh-CN"/>
        </w:rPr>
      </w:pPr>
    </w:p>
    <w:tbl>
      <w:tblPr>
        <w:tblStyle w:val="9"/>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14616"/>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493" w:type="pct"/>
            <w:vAlign w:val="center"/>
          </w:tcPr>
          <w:p>
            <w:pPr>
              <w:overflowPunct w:val="0"/>
              <w:spacing w:line="44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管控维度</w:t>
            </w:r>
          </w:p>
        </w:tc>
        <w:tc>
          <w:tcPr>
            <w:tcW w:w="3362" w:type="pct"/>
            <w:vAlign w:val="center"/>
          </w:tcPr>
          <w:p>
            <w:pPr>
              <w:overflowPunct w:val="0"/>
              <w:spacing w:line="440" w:lineRule="exact"/>
              <w:jc w:val="center"/>
              <w:rPr>
                <w:rFonts w:hint="eastAsia" w:ascii="Times New Roman" w:hAnsi="Times New Roman" w:eastAsia="仿宋_GB2312" w:cs="Times New Roman"/>
                <w:sz w:val="28"/>
                <w:szCs w:val="30"/>
                <w:lang w:eastAsia="zh"/>
              </w:rPr>
            </w:pPr>
            <w:r>
              <w:rPr>
                <w:rFonts w:ascii="Times New Roman" w:hAnsi="Times New Roman" w:eastAsia="仿宋_GB2312" w:cs="Times New Roman"/>
                <w:sz w:val="28"/>
                <w:szCs w:val="30"/>
              </w:rPr>
              <w:t>环境准入及管控要求</w:t>
            </w:r>
          </w:p>
        </w:tc>
        <w:tc>
          <w:tcPr>
            <w:tcW w:w="1145" w:type="pct"/>
            <w:vAlign w:val="center"/>
          </w:tcPr>
          <w:p>
            <w:pPr>
              <w:overflowPunct w:val="0"/>
              <w:spacing w:line="44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3" w:type="pct"/>
            <w:vAlign w:val="center"/>
          </w:tcPr>
          <w:p>
            <w:pPr>
              <w:overflowPunct w:val="0"/>
              <w:spacing w:line="440" w:lineRule="exact"/>
              <w:jc w:val="center"/>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空间布局约束</w:t>
            </w:r>
          </w:p>
          <w:p>
            <w:pPr>
              <w:overflowPunct w:val="0"/>
              <w:spacing w:line="440" w:lineRule="exact"/>
              <w:jc w:val="center"/>
              <w:rPr>
                <w:rFonts w:hint="eastAsia" w:ascii="仿宋_GB2312" w:hAnsi="仿宋_GB2312" w:eastAsia="仿宋_GB2312" w:cs="仿宋_GB2312"/>
                <w:sz w:val="28"/>
                <w:szCs w:val="30"/>
              </w:rPr>
            </w:pPr>
          </w:p>
        </w:tc>
        <w:tc>
          <w:tcPr>
            <w:tcW w:w="3362" w:type="pct"/>
            <w:shd w:val="clear" w:color="auto" w:fill="auto"/>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生态保护红线按照国家、天津市有关要求进行严格管控；生态保护红线内自然保护地核心保护区外，禁止开发性、生产性建设活动，在符合法律法规的前提下，仅允许对生态功能不造成破坏的有限人为活动;生态保护红线内自然保护区、风景名胜区、饮用水水源保护区等区域，依照法律法规执行。</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除允许的对生态功能不造成破坏的有限人为活动外，规定范围内的国家重大项目确需占用生态保护红线的，按照国家有关规定办理用地审批。占用生态保护红线的国家重大项目，应当严格落实生态环境分区管控要求，依法开展环境影响评价。</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3、强化国土空间规划和用途管制，科学推进国土绿化行动，不断增强生态系统自我修复能力和陆地碳汇功能。</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4、全区重点发展新材料(先进钢铁材料、新型建筑材料)、装备制造(智能制造装备、航空配套)、汽车(新能源汽车、汽车关键零部件)、轻工(绿色食品)等主导产业。</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5、在各级园区的基础上，划分“三区一线”，实施区别化政策引导，保障工业核心用地，保护制造业发展空间，引导零星工业用地减量化调整，提高土地利用效率。</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6、对占用生态空间的工业用地进行整体清退，确保城市生态廊道完整性。</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7、严禁新增钢铁、焦化、水泥熟料、平板玻璃（不含光伏玻璃）、电解铝、氧化铝、煤化工等产能。</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8、除已审批同意并纳入市级专项规划的项目外，垃圾焚烧发电厂、水泥厂等原则上不再新增以单一焚烧或协同处置等方式处理一般固体废物的能力。</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9、</w:t>
            </w:r>
            <w:bookmarkStart w:id="10" w:name="_Hlk176339539"/>
            <w:r>
              <w:rPr>
                <w:rFonts w:hint="eastAsia" w:ascii="仿宋_GB2312" w:hAnsi="仿宋_GB2312" w:eastAsia="仿宋_GB2312" w:cs="仿宋_GB2312"/>
                <w:color w:val="auto"/>
                <w:sz w:val="28"/>
                <w:szCs w:val="28"/>
                <w:lang w:eastAsia="zh-CN"/>
              </w:rPr>
              <w:t>永久基本农田集中区域禁止规划新建可能造成土壤污染的建设项目</w:t>
            </w:r>
            <w:bookmarkEnd w:id="10"/>
            <w:r>
              <w:rPr>
                <w:rFonts w:hint="eastAsia" w:ascii="仿宋_GB2312" w:hAnsi="仿宋_GB2312" w:eastAsia="仿宋_GB2312" w:cs="仿宋_GB2312"/>
                <w:color w:val="auto"/>
                <w:sz w:val="28"/>
                <w:szCs w:val="28"/>
                <w:lang w:eastAsia="zh-CN"/>
              </w:rPr>
              <w:t>。</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10、禁止新建、扩建制浆造纸、制革、染料、农药合成等严重污染水环境的生产项目。</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11、自然保护地核心保护区外，严格禁止开发性、生产性建设活动。</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12、禁止占用重要湿地，国家重大项目、防灾减灾项目、重要水利及保护设施项目、湿地保护项目等除外。建设项目选址、选线应当避让湿地，无法避让的应当尽量减少占用，并采取必要措施减轻对湿地生态功能的不利影响。</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13、禁止采伐自然保护区的林木。严格执行限额采伐和凭证采伐的管理制度，严格控制林地转为非林地，实行占用林地总量控制，加强林地用途管制，从严管控生态保护红线内林地，加强湿地保护管理，实施湿地生态修复。</w:t>
            </w:r>
          </w:p>
          <w:p>
            <w:pPr>
              <w:keepNext w:val="0"/>
              <w:keepLines w:val="0"/>
              <w:pageBreakBefore w:val="0"/>
              <w:widowControl/>
              <w:tabs>
                <w:tab w:val="left" w:pos="420"/>
              </w:tabs>
              <w:kinsoku w:val="0"/>
              <w:wordWrap/>
              <w:overflowPunct/>
              <w:topLinePunct w:val="0"/>
              <w:autoSpaceDE w:val="0"/>
              <w:autoSpaceDN w:val="0"/>
              <w:bidi w:val="0"/>
              <w:adjustRightInd w:val="0"/>
              <w:snapToGrid/>
              <w:spacing w:line="440" w:lineRule="exact"/>
              <w:textAlignment w:val="baseline"/>
              <w:rPr>
                <w:rFonts w:hint="eastAsia" w:ascii="仿宋_GB2312" w:hAnsi="仿宋_GB2312" w:eastAsia="仿宋_GB2312" w:cs="仿宋_GB2312"/>
                <w:color w:val="auto"/>
                <w:sz w:val="28"/>
                <w:szCs w:val="28"/>
                <w:lang w:eastAsia="zh"/>
              </w:rPr>
            </w:pPr>
            <w:r>
              <w:rPr>
                <w:rFonts w:hint="eastAsia" w:ascii="仿宋_GB2312" w:hAnsi="仿宋_GB2312" w:eastAsia="仿宋_GB2312" w:cs="仿宋_GB2312"/>
                <w:color w:val="auto"/>
                <w:sz w:val="28"/>
                <w:szCs w:val="28"/>
                <w:lang w:eastAsia="zh-CN"/>
              </w:rPr>
              <w:t>14、严格实施能源消费强度和总量双控制度，强化刚性约束。</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15、优化水产养殖空间布局，落实养殖水域滩涂规划制度，实施禁止养殖区、限制养殖区、允许养殖区“三区划定”。</w:t>
            </w:r>
          </w:p>
          <w:p>
            <w:pPr>
              <w:keepNext w:val="0"/>
              <w:keepLines w:val="0"/>
              <w:pageBreakBefore w:val="0"/>
              <w:widowControl/>
              <w:kinsoku w:val="0"/>
              <w:wordWrap/>
              <w:overflowPunct/>
              <w:topLinePunct w:val="0"/>
              <w:autoSpaceDE w:val="0"/>
              <w:autoSpaceDN w:val="0"/>
              <w:bidi w:val="0"/>
              <w:adjustRightIn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16、坚决遏制“两高”项目盲目发展。依法依规淘汰落后产能和化解过剩产能。</w:t>
            </w:r>
          </w:p>
          <w:p>
            <w:pPr>
              <w:keepNext w:val="0"/>
              <w:keepLines w:val="0"/>
              <w:pageBreakBefore w:val="0"/>
              <w:widowControl/>
              <w:tabs>
                <w:tab w:val="left" w:pos="420"/>
              </w:tabs>
              <w:kinsoku w:val="0"/>
              <w:wordWrap/>
              <w:overflowPunct/>
              <w:topLinePunct w:val="0"/>
              <w:autoSpaceDE w:val="0"/>
              <w:autoSpaceDN w:val="0"/>
              <w:bidi w:val="0"/>
              <w:adjustRightInd w:val="0"/>
              <w:snapToGrid/>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17、禁止新建燃煤锅炉及工业炉窑，除在建项目外，不再新增煤电装机规模。</w:t>
            </w:r>
          </w:p>
        </w:tc>
        <w:tc>
          <w:tcPr>
            <w:tcW w:w="1145" w:type="pct"/>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w:t>
            </w:r>
            <w:bookmarkStart w:id="11" w:name="_Hlk176968196"/>
            <w:r>
              <w:rPr>
                <w:rFonts w:hint="eastAsia" w:ascii="仿宋_GB2312" w:hAnsi="仿宋_GB2312" w:eastAsia="仿宋_GB2312" w:cs="仿宋_GB2312"/>
                <w:color w:val="auto"/>
                <w:sz w:val="28"/>
                <w:szCs w:val="28"/>
                <w:lang w:eastAsia="zh-CN"/>
              </w:rPr>
              <w:t>-2、《自然资源部生态环境部国家林业和草原局关于加强生态保护红线管理的通知（试行）》（自然资发〔2022〕142号）《天津市人民代表大会常务委员会关于加强生态保护红线管理的决定》《天津市人民政府关于做好生态保护红线管理工作的通知》（津政规〔2024〕5号）</w:t>
            </w:r>
            <w:bookmarkEnd w:id="11"/>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3、《天津市减污降碳协同增效实施方案》</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4-6、《天津市工业布局规划（2022-2035年）》</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7、《天津市减污降碳协同增效实施方案》</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8、《天津市生态环境保护“十四五”规划》</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9、《天津市土壤污染防治条例》</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10、《天津市水污染防治条例》</w:t>
            </w:r>
          </w:p>
          <w:p>
            <w:pPr>
              <w:keepNext w:val="0"/>
              <w:keepLines w:val="0"/>
              <w:pageBreakBefore w:val="0"/>
              <w:widowControl/>
              <w:tabs>
                <w:tab w:val="left" w:pos="420"/>
              </w:tabs>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11-13、《天津市宁河区国土空间总体规划(2021－2035年)》</w:t>
            </w:r>
          </w:p>
          <w:p>
            <w:pPr>
              <w:keepNext w:val="0"/>
              <w:keepLines w:val="0"/>
              <w:pageBreakBefore w:val="0"/>
              <w:widowControl/>
              <w:tabs>
                <w:tab w:val="left" w:pos="420"/>
              </w:tabs>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14、《天津市宁河区碳达峰实施方案》</w:t>
            </w:r>
          </w:p>
          <w:p>
            <w:pPr>
              <w:keepNext w:val="0"/>
              <w:keepLines w:val="0"/>
              <w:pageBreakBefore w:val="0"/>
              <w:widowControl/>
              <w:tabs>
                <w:tab w:val="left" w:pos="420"/>
              </w:tabs>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15-17、</w:t>
            </w:r>
            <w:bookmarkStart w:id="12" w:name="_Hlk184887024"/>
            <w:r>
              <w:rPr>
                <w:rFonts w:hint="eastAsia" w:ascii="仿宋_GB2312" w:hAnsi="仿宋_GB2312" w:eastAsia="仿宋_GB2312" w:cs="仿宋_GB2312"/>
                <w:color w:val="auto"/>
                <w:sz w:val="28"/>
                <w:szCs w:val="28"/>
                <w:lang w:eastAsia="zh-CN"/>
              </w:rPr>
              <w:t>《</w:t>
            </w:r>
            <w:bookmarkEnd w:id="12"/>
            <w:bookmarkStart w:id="13" w:name="_Hlk184887007"/>
            <w:r>
              <w:rPr>
                <w:rFonts w:hint="eastAsia" w:ascii="仿宋_GB2312" w:hAnsi="仿宋_GB2312" w:eastAsia="仿宋_GB2312" w:cs="仿宋_GB2312"/>
                <w:color w:val="auto"/>
                <w:sz w:val="28"/>
                <w:szCs w:val="28"/>
                <w:lang w:eastAsia="zh-CN"/>
              </w:rPr>
              <w:t>天津市宁河区人民政府办公室关于印发宁河区生态环境保护“十四五”规划的通知》</w:t>
            </w:r>
            <w:bookmarkEnd w:id="13"/>
            <w:r>
              <w:rPr>
                <w:rFonts w:hint="eastAsia" w:ascii="仿宋_GB2312" w:hAnsi="仿宋_GB2312" w:eastAsia="仿宋_GB2312" w:cs="仿宋_GB2312"/>
                <w:color w:val="auto"/>
                <w:sz w:val="28"/>
                <w:szCs w:val="28"/>
                <w:lang w:eastAsia="zh-CN"/>
              </w:rPr>
              <w:t>（津宁河政办发〔2023〕1号）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93" w:type="pct"/>
            <w:vAlign w:val="center"/>
          </w:tcPr>
          <w:p>
            <w:pPr>
              <w:overflowPunct w:val="0"/>
              <w:spacing w:line="440" w:lineRule="exact"/>
              <w:jc w:val="center"/>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污染物排放管控</w:t>
            </w:r>
          </w:p>
        </w:tc>
        <w:tc>
          <w:tcPr>
            <w:tcW w:w="3362" w:type="pct"/>
            <w:shd w:val="clear" w:color="auto" w:fill="auto"/>
          </w:tcPr>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
              </w:rPr>
              <w:t>1、</w:t>
            </w:r>
            <w:r>
              <w:rPr>
                <w:rFonts w:hint="eastAsia" w:ascii="仿宋_GB2312" w:hAnsi="仿宋_GB2312" w:eastAsia="仿宋_GB2312" w:cs="仿宋_GB2312"/>
                <w:color w:val="auto"/>
                <w:sz w:val="28"/>
                <w:szCs w:val="28"/>
                <w:highlight w:val="none"/>
                <w:lang w:eastAsia="zh-CN"/>
              </w:rPr>
              <w:t>严格执行钢铁、水泥、平板玻璃等行业产能置换要求。</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
              </w:rPr>
              <w:t>2、</w:t>
            </w:r>
            <w:r>
              <w:rPr>
                <w:rFonts w:hint="eastAsia" w:ascii="仿宋_GB2312" w:hAnsi="仿宋_GB2312" w:eastAsia="仿宋_GB2312" w:cs="仿宋_GB2312"/>
                <w:color w:val="auto"/>
                <w:sz w:val="28"/>
                <w:szCs w:val="28"/>
                <w:highlight w:val="none"/>
                <w:lang w:eastAsia="zh-CN"/>
              </w:rPr>
              <w:t>按照以新带老、增产减污、总量减少的原则，结合生态环境质量状况，实行重点污染物（氮氧化物、挥发性有机物两项大气污染物和化学需氧量、氨氮两项水污染物）排放总量控制指标差异化替代。</w:t>
            </w:r>
          </w:p>
          <w:p>
            <w:pPr>
              <w:keepNext w:val="0"/>
              <w:keepLines w:val="0"/>
              <w:pageBreakBefore w:val="0"/>
              <w:widowControl/>
              <w:numPr>
                <w:ilvl w:val="-1"/>
                <w:numId w:val="0"/>
              </w:numPr>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firstLine="0"/>
              <w:jc w:val="lef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snapToGrid w:val="0"/>
                <w:color w:val="000000"/>
                <w:kern w:val="2"/>
                <w:sz w:val="28"/>
                <w:szCs w:val="28"/>
                <w:highlight w:val="none"/>
                <w:lang w:val="en-US" w:eastAsia="zh" w:bidi="ar"/>
              </w:rPr>
              <w:t>3、</w:t>
            </w:r>
            <w:r>
              <w:rPr>
                <w:rFonts w:hint="eastAsia" w:ascii="仿宋_GB2312" w:hAnsi="仿宋_GB2312" w:eastAsia="仿宋_GB2312" w:cs="仿宋_GB2312"/>
                <w:color w:val="auto"/>
                <w:sz w:val="28"/>
                <w:szCs w:val="28"/>
                <w:highlight w:val="none"/>
                <w:lang w:val="en-US" w:eastAsia="zh-CN"/>
              </w:rPr>
              <w:t>依法开展强制性清洁生产审核、自愿性清洁生产评价认证。</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严格涉重金属项目环境准入，落实国家确定的相关总量控制指标，新（改、扩）建涉重金属重点行业建设项目实施“等量替代”或“减量替代”。</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加快使用含氢氯氟烃生产线改造，逐步淘汰氢氯氟烃使用。</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推动农村生活污水处理设施运行维护依效付费评价工作，提升农村生活污水治理水平。</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严格落实禁止使用高排放非道路移动机械区域的规定。</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
              </w:rPr>
              <w:t>8</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强化产业园区资源能源消耗、污染排放、生态建设、风险防范等调查评估，推动工业园区生态环境综合治理。</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
              </w:rPr>
              <w:t>9</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强化固体废物污染防治。全面禁止进口固体废物，推进电力、冶金、建材、化工等重点行业大宗固体废弃物综合利用，有序限制、禁止部分塑料制品生产、销售和使用，推广使用可降解可循环易回收的替代产品。</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
              </w:rPr>
              <w:t>10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推进燃煤锅炉改燃并网整合，整改或淘汰排放治理设施落后无法稳定达标的生物质锅炉。</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eastAsia="zh"/>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大力推进生活垃圾减量化资源化。加强生活垃圾分类管理。加强塑料污染全链条治理，整治过度包装，推动生活垃圾源头减量。推进污水资源化利用。</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eastAsia="zh"/>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加强大气、水重点污染源监测，推进重点城镇污水处理厂在线监测全覆盖，加强主要入河排污口监测，规范排污单位和工业园区污染源自行监测。</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eastAsia="zh"/>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强化施工扬尘污染防治，坚决遏制渣土撒漏、随处倾倒等违法违规行为。严控露天焚烧火点。强化机动车污染治理。</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eastAsia="zh"/>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深化农业农村污染治理，坚持补齐、减源、增效“三措”整治农业农村污染。</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eastAsia="zh"/>
              </w:rPr>
              <w:t>5</w:t>
            </w:r>
            <w:r>
              <w:rPr>
                <w:rFonts w:hint="eastAsia" w:ascii="仿宋_GB2312" w:hAnsi="仿宋_GB2312" w:eastAsia="仿宋_GB2312" w:cs="仿宋_GB2312"/>
                <w:color w:val="auto"/>
                <w:sz w:val="28"/>
                <w:szCs w:val="28"/>
                <w:highlight w:val="none"/>
                <w:lang w:eastAsia="zh-CN"/>
              </w:rPr>
              <w:t>、加强垃圾运输、卸料、贮存及渗滤液处理的恶臭污染收集治理。</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eastAsia="zh"/>
              </w:rPr>
              <w:t>6</w:t>
            </w:r>
            <w:r>
              <w:rPr>
                <w:rFonts w:hint="eastAsia" w:ascii="仿宋_GB2312" w:hAnsi="仿宋_GB2312" w:eastAsia="仿宋_GB2312" w:cs="仿宋_GB2312"/>
                <w:color w:val="auto"/>
                <w:sz w:val="28"/>
                <w:szCs w:val="28"/>
                <w:highlight w:val="none"/>
                <w:lang w:eastAsia="zh-CN"/>
              </w:rPr>
              <w:t>、加</w:t>
            </w:r>
            <w:r>
              <w:rPr>
                <w:rFonts w:hint="eastAsia" w:ascii="仿宋_GB2312" w:hAnsi="仿宋_GB2312" w:eastAsia="仿宋_GB2312" w:cs="仿宋_GB2312"/>
                <w:color w:val="auto"/>
                <w:sz w:val="28"/>
                <w:szCs w:val="28"/>
                <w:highlight w:val="none"/>
                <w:lang w:eastAsia="zh-CN"/>
              </w:rPr>
              <w:t>强涉重金属行业污染防控，确保排放总量不增长。</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eastAsia="zh"/>
              </w:rPr>
              <w:t>7</w:t>
            </w:r>
            <w:r>
              <w:rPr>
                <w:rFonts w:hint="eastAsia" w:ascii="仿宋_GB2312" w:hAnsi="仿宋_GB2312" w:eastAsia="仿宋_GB2312" w:cs="仿宋_GB2312"/>
                <w:color w:val="auto"/>
                <w:sz w:val="28"/>
                <w:szCs w:val="28"/>
                <w:highlight w:val="none"/>
                <w:lang w:eastAsia="zh-CN"/>
              </w:rPr>
              <w:t>、加强污水处理厂等处置设施甲烷排放和资源化利用水平。加强污水处理厂污泥无害化处置和资源化利用。推广标准化、规模化种植养殖，控制农田和畜禽养殖甲烷、氧化亚氮排放。</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eastAsia="zh"/>
              </w:rPr>
              <w:t>8</w:t>
            </w:r>
            <w:r>
              <w:rPr>
                <w:rFonts w:hint="eastAsia" w:ascii="仿宋_GB2312" w:hAnsi="仿宋_GB2312" w:eastAsia="仿宋_GB2312" w:cs="仿宋_GB2312"/>
                <w:color w:val="auto"/>
                <w:sz w:val="28"/>
                <w:szCs w:val="28"/>
                <w:highlight w:val="none"/>
                <w:lang w:eastAsia="zh-CN"/>
              </w:rPr>
              <w:t>、加强甲烷等非二氧化碳温室气体排放管控。</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eastAsia="zh"/>
              </w:rPr>
              <w:t>9</w:t>
            </w:r>
            <w:r>
              <w:rPr>
                <w:rFonts w:hint="eastAsia" w:ascii="仿宋_GB2312" w:hAnsi="仿宋_GB2312" w:eastAsia="仿宋_GB2312" w:cs="仿宋_GB2312"/>
                <w:color w:val="auto"/>
                <w:sz w:val="28"/>
                <w:szCs w:val="28"/>
                <w:highlight w:val="none"/>
                <w:lang w:eastAsia="zh-CN"/>
              </w:rPr>
              <w:t>、强化重点工业源氨排放治理和氨逃逸防控。</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
              </w:rPr>
            </w:pP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施工工地严格落实“六个百分之百”管控要求，区政府所在地等城市建成区范围内施工工地，100%使用低挥发性工程涂料和国三及以上排放标准非道路移动机械，市政、城市道路、水利等长距离线性工程实行分段施工。渣土运输车实施硬覆盖与全密闭，推进低尘机械化湿式清扫作业，加大重要路段冲洗保洁力度，扩大道路机械化清扫保洁面积，优化“以克论净”考核方式和范围。加强裸地、堆场扬尘治理。强化重点工业源氨排放治理和氨逃逸防控，提升养殖业规模集约化水平。</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、坚决遏制高耗能、高排放、低水平项目盲目发展。严格执行钢铁、铸造等行业产能等量或减量置换规定，严格审批准入。</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、推动企业加大节能降耗和减污降碳力度，严格执行最新能耗限额和污染排放标准。</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left="0" w:firstLine="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eastAsia="zh"/>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、深入推进产业、布局、能源、交通运输结构调整，深化燃煤、工业、机动车、扬尘污染治理，加强细颗粒物和臭氧协同控制，实现散乱污企业动态清零。</w:t>
            </w:r>
          </w:p>
        </w:tc>
        <w:tc>
          <w:tcPr>
            <w:tcW w:w="1145" w:type="pct"/>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1、《水泥玻璃行业产能置换实施办法》(工信部原〔2024〕206号）、《工业和信息化部办公厅关于暂停钢铁产能置换工作的通知》工信厅原函〔2024〕327号</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2、《天津市重点污染物排放总量控制管理办法（试行）》</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
              </w:rPr>
              <w:t>3、</w:t>
            </w:r>
            <w:r>
              <w:rPr>
                <w:rFonts w:hint="eastAsia" w:ascii="仿宋_GB2312" w:hAnsi="仿宋_GB2312" w:eastAsia="仿宋_GB2312" w:cs="仿宋_GB2312"/>
                <w:color w:val="auto"/>
                <w:sz w:val="28"/>
                <w:szCs w:val="28"/>
                <w:lang w:eastAsia="zh-CN"/>
              </w:rPr>
              <w:t>《天津市宁河区人民政府办公室关于印发宁河区生态环境保护“十四五”规划的通知（津宁河政办发〔2023〕1号）》</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
              </w:rPr>
              <w:t>4</w:t>
            </w:r>
            <w:r>
              <w:rPr>
                <w:rFonts w:hint="eastAsia" w:ascii="仿宋_GB2312" w:hAnsi="仿宋_GB2312" w:eastAsia="仿宋_GB2312" w:cs="仿宋_GB2312"/>
                <w:color w:val="auto"/>
                <w:sz w:val="28"/>
                <w:szCs w:val="28"/>
                <w:lang w:eastAsia="zh-CN"/>
              </w:rPr>
              <w:t>、《天津市深入打好净土保卫战行动计划》（津污防攻坚指〔2022〕2号）</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eastAsia="zh"/>
              </w:rPr>
              <w:t>6</w:t>
            </w:r>
            <w:r>
              <w:rPr>
                <w:rFonts w:hint="eastAsia" w:ascii="仿宋_GB2312" w:hAnsi="仿宋_GB2312" w:eastAsia="仿宋_GB2312" w:cs="仿宋_GB2312"/>
                <w:color w:val="auto"/>
                <w:sz w:val="28"/>
                <w:szCs w:val="28"/>
                <w:lang w:eastAsia="zh-CN"/>
              </w:rPr>
              <w:t>、《天津市减污降碳协同增效实施方案》</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
              </w:rPr>
              <w:t>7</w:t>
            </w:r>
            <w:r>
              <w:rPr>
                <w:rFonts w:hint="eastAsia" w:ascii="仿宋_GB2312" w:hAnsi="仿宋_GB2312" w:eastAsia="仿宋_GB2312" w:cs="仿宋_GB2312"/>
                <w:color w:val="auto"/>
                <w:sz w:val="28"/>
                <w:szCs w:val="28"/>
                <w:lang w:eastAsia="zh-CN"/>
              </w:rPr>
              <w:t>、《天津市人民政府关于划定禁止使用高排放非道路移动机械区域的通告》</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
              </w:rPr>
              <w:t>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eastAsia="zh"/>
              </w:rPr>
              <w:t>10</w:t>
            </w:r>
            <w:r>
              <w:rPr>
                <w:rFonts w:hint="eastAsia" w:ascii="仿宋_GB2312" w:hAnsi="仿宋_GB2312" w:eastAsia="仿宋_GB2312" w:cs="仿宋_GB2312"/>
                <w:color w:val="auto"/>
                <w:sz w:val="28"/>
                <w:szCs w:val="28"/>
                <w:lang w:eastAsia="zh-CN"/>
              </w:rPr>
              <w:t>、《天津市生态环境保护“十四五”规划》</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eastAsia="zh"/>
              </w:rPr>
              <w:t>1</w:t>
            </w:r>
            <w:r>
              <w:rPr>
                <w:rFonts w:hint="eastAsia" w:ascii="仿宋_GB2312" w:hAnsi="仿宋_GB2312" w:eastAsia="仿宋_GB2312" w:cs="仿宋_GB2312"/>
                <w:color w:val="auto"/>
                <w:sz w:val="28"/>
                <w:szCs w:val="28"/>
                <w:lang w:eastAsia="zh-CN"/>
              </w:rPr>
              <w:t>、《天津市碳达峰实施方案》</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eastAsia="zh"/>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eastAsia="zh-CN"/>
              </w:rPr>
              <w:t>、《天津市宁河区人民政府办公室关于印发宁河区生态环境保护“十四五”规划的通知（津宁河政办发〔2023〕1号）》</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
              </w:rPr>
              <w:t>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eastAsia="zh"/>
              </w:rPr>
              <w:t>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、《天津市宁河区碳达峰实施方案》</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、天津市宁河区人民政府关于印发《天津市宁河区国民经济和社会发展第十四个五年规划和二〇三五年远景目标纲要》的通知（津宁河政发〔2021〕3号）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93" w:type="pct"/>
            <w:vAlign w:val="center"/>
          </w:tcPr>
          <w:p>
            <w:pPr>
              <w:overflowPunct w:val="0"/>
              <w:spacing w:line="440" w:lineRule="exact"/>
              <w:jc w:val="center"/>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环境风险防控</w:t>
            </w:r>
          </w:p>
        </w:tc>
        <w:tc>
          <w:tcPr>
            <w:tcW w:w="3362" w:type="pct"/>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1、加强优先控制化学品的风险管控。重点防范持久性有机污染物、汞等化学品物质的环境风险。</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auto"/>
                <w:sz w:val="28"/>
                <w:szCs w:val="28"/>
                <w:highlight w:val="none"/>
                <w:lang w:val="en-US" w:eastAsia="zh"/>
              </w:rPr>
              <w:t>2、新（改、扩）建涉及有毒有害物质、可能造成土壤污染的建设项目，严格落实土壤和地下水污染防治要求，永久基本农田集中区域禁止规划新建可能造成土壤污染的建设项目。加强调查评估，防范集中式污染治理设施周边土壤污染，加强工业固体废物堆存场所管理，对可能造成土壤污染的行业企业、工业集聚区等关停搬迁的地块，开展土壤污染状况调查和风险评估。</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、实施危险化学品企业安全整治，对于不符合安全生产条件的企业坚决依法关闭。</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、推进“两重点一重大”生产装置、储存设施可燃气体和有毒气体泄漏检测报警装置、紧急切断装置、自动化控制系统的建设完善，涉及国家重点监管的危险化工工艺装置必须实现自动化控制，强化本质安全。</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、加强危险货物道路运输安全监督管理，提升危险货物运输安全水平。</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实行建设用地土壤污染风险管控和修复名录制度。对列入建设用地土壤污染风险管控和修复名录中的地块，不得作为住宅、公共管理与公共服务用地。未达到土壤污染风险评估报告确定的风险管控、修复目标的建设用地地块，禁止开工建设任何与风险管控、修复无关的项目。</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、加强生活垃圾填埋场封场管理，妥善解决渗滤液问题。</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加强石油、化工、有色金属等行业腾退地块污染风险管控，落实优先监管地块清单管理。推动用途变更为“一住两公”（住宅、公共管理、公共服务）地块土壤污染状况调查全覆盖，建立分级评审机制，严格落实准入管理，有效保障重点建设用地安全利用。</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CN"/>
              </w:rPr>
              <w:t>、强化工矿企业土壤污染源头管控。严格防范工矿企业用地新增土壤污染。实施重点行业企业分类分级监管，推动高风险在产企业健全完善土壤污染隐患排查制度和工作措施。鼓励企业因地制宜实施防腐防渗及清洁生产绿色化改造。加强企业拆除活动污染防治现场检查，督促企业落实拆除活动污染防治措施。</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
              </w:rPr>
              <w:t>1</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lang w:eastAsia="zh-CN"/>
              </w:rPr>
              <w:t>、新（改、扩）建涉及有毒有害物质、可能造成土壤污染的建设项目，严格落实土壤和地下水污染防治要求，重点企业定期开展土壤及地下水环境自行监测、污染隐患排查。</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、物流仓储区不得用于危险品储存和影响周边环境污染的项目。</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、着力防范化解生态环境风险。加强重金属风险防控。</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、完善环境风险防控体系，强化气候变化应对，统筹固体废物、危险废物、重金属、化学品、白色污染治理，加强核与辐射安全监管，保障生态环境安全。</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lef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snapToGrid w:val="0"/>
                <w:color w:val="000000"/>
                <w:kern w:val="2"/>
                <w:sz w:val="28"/>
                <w:szCs w:val="28"/>
                <w:highlight w:val="none"/>
                <w:lang w:val="en-US" w:eastAsia="zh" w:bidi="ar"/>
              </w:rPr>
              <w:t>1</w:t>
            </w:r>
            <w:r>
              <w:rPr>
                <w:rFonts w:hint="eastAsia" w:ascii="仿宋_GB2312" w:hAnsi="仿宋_GB2312" w:eastAsia="仿宋_GB2312" w:cs="仿宋_GB2312"/>
                <w:snapToGrid w:val="0"/>
                <w:color w:val="000000"/>
                <w:kern w:val="2"/>
                <w:sz w:val="28"/>
                <w:szCs w:val="28"/>
                <w:highlight w:val="none"/>
                <w:lang w:val="en-US" w:eastAsia="zh-CN" w:bidi="ar"/>
              </w:rPr>
              <w:t>4</w:t>
            </w:r>
            <w:r>
              <w:rPr>
                <w:rFonts w:hint="eastAsia" w:ascii="仿宋_GB2312" w:hAnsi="仿宋_GB2312" w:eastAsia="仿宋_GB2312" w:cs="仿宋_GB2312"/>
                <w:snapToGrid w:val="0"/>
                <w:color w:val="000000"/>
                <w:kern w:val="2"/>
                <w:sz w:val="28"/>
                <w:szCs w:val="28"/>
                <w:highlight w:val="none"/>
                <w:lang w:val="en-US" w:eastAsia="zh" w:bidi="ar"/>
              </w:rPr>
              <w:t>、</w:t>
            </w:r>
            <w:r>
              <w:rPr>
                <w:rFonts w:hint="eastAsia" w:ascii="仿宋_GB2312" w:hAnsi="仿宋_GB2312" w:eastAsia="仿宋_GB2312" w:cs="仿宋_GB2312"/>
                <w:snapToGrid w:val="0"/>
                <w:color w:val="000000"/>
                <w:kern w:val="2"/>
                <w:sz w:val="28"/>
                <w:szCs w:val="28"/>
                <w:highlight w:val="none"/>
                <w:lang w:val="en-US" w:eastAsia="zh-CN" w:bidi="ar"/>
              </w:rPr>
              <w:t>加强放射性废物（源）安全管理，废旧放射源100%安全收贮。</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5</w:t>
            </w:r>
            <w:bookmarkStart w:id="93" w:name="_GoBack"/>
            <w:bookmarkEnd w:id="93"/>
            <w:r>
              <w:rPr>
                <w:rFonts w:hint="eastAsia" w:ascii="仿宋_GB2312" w:hAnsi="仿宋_GB2312" w:eastAsia="仿宋_GB2312" w:cs="仿宋_GB2312"/>
                <w:color w:val="auto"/>
                <w:sz w:val="28"/>
                <w:szCs w:val="28"/>
                <w:highlight w:val="none"/>
                <w:lang w:eastAsia="zh-CN"/>
              </w:rPr>
              <w:t>、加强生物安全管理，加强外来物种入侵防控，开展外来入侵物种科普和监测预警，强化外来物种引入管理，加强农业、湿地等区域外来入侵物种防治，完善防控监测体制。</w:t>
            </w:r>
          </w:p>
        </w:tc>
        <w:tc>
          <w:tcPr>
            <w:tcW w:w="1145" w:type="pct"/>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eastAsia="zh"/>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、《天津市生态环境保护“十四五”规划》</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、《天津市石化化工产业高质量发展实施方案》</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、《天津市土壤污染防治条例》</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、《天津市持续深入打好污染防治攻坚战三年行动方案》</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eastAsia="zh-CN"/>
              </w:rPr>
              <w:t>、《天津市土壤、地下水和农业农村“十四五”生态环境保护规划》</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
              </w:rPr>
              <w:t>1</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、《天津市生态环境保护“十四五”规划》</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、《天津市宁河区国土空间总体规划(2021－2035年)》</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、《天津市宁河区人民政府办公室关于印发宁河区生态环境保护“十四五”规划的通知（津宁河政办发〔2023〕1号）》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93" w:type="pct"/>
            <w:vAlign w:val="center"/>
          </w:tcPr>
          <w:p>
            <w:pPr>
              <w:overflowPunct w:val="0"/>
              <w:spacing w:line="440" w:lineRule="exact"/>
              <w:jc w:val="center"/>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资源利用效率要求</w:t>
            </w:r>
          </w:p>
        </w:tc>
        <w:tc>
          <w:tcPr>
            <w:tcW w:w="3362" w:type="pct"/>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1、实行水资源消耗总量和强度双控，严守水资源开发利用和用水效率控制红线，强化区域规划和建设项目水资源论证及取水许可管理，优先保障生活用水，适度控制生产用水，增加生态用水。</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2、提高工业用水效率，推进工业园区用水系统集成优化。</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3、持续推动城镇污水处理节能降耗，提高处理效率。</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4、严控新上耗煤项目，对确需建设的耗煤项目，严格实行煤炭减量替代。</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5、巩固多气源、多方向的供应格局，推动非化石能源规模化发展。</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6、持续提高电能占终端能源消费比重，推动能源供给体系清洁化低碳化和终端能源消费电气化。</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7、坚持集中式和分布式并重，加快绿色能源发展。大力开发太阳能，有效利用风资源，有序开发中深层水热型地热能，因地制宜开发生物质能。持续扩大天然气供应，优化天然气利用结构和方式。</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支持企业自建光伏、风电等绿电项目，实施绿色能源替代工程，提高可再生资源和清洁能源使用比例。支持企业利用余热余压发电、并网。支持企业利用合作建设绿色能源项目、市场化交易等方式提高绿电使用比例，探索建设源网荷储一体化实验区。</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9、加强工业固废源头减量化和资源化。统筹资源节约、高效利用和废物减量，支持重点行业企业采用固体废物减量化工艺技术。</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10、提高农业废弃物资源化利用率。推进秸秆全量化综合利用。</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11、新建规模化畜禽养殖场同步建设粪污处理设施，推动现有规模化养殖场粪污处理设施正常运转和资源化有效利用，加强现有3个畜禽粪污收集利用中心运营维护。</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12、统筹农村污水、垃圾治理，巩固农村生活污水治理成果，推进农村生活垃圾就地分类和资源化利用。</w:t>
            </w:r>
          </w:p>
        </w:tc>
        <w:tc>
          <w:tcPr>
            <w:tcW w:w="1145" w:type="pct"/>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1、《天津市宁河区人民政府办公室关于印发宁河区生态环境保护“十四五”规划的通知（津宁河政办发〔2023〕1号）》</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2-3、《天津市减污降碳协同增效实施方案》</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4、《天津市节能“十四五”规划》</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5、《天津市能源发展“十四五”规划》</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6、《天津市减污降碳协同增效实施方案》</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7、《天津市能源发展“十四五”规划》</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8、《关于支持绿色石化产业链高质量发展的若干政策措施》</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9-12、《天津市宁河区人民政府办公室关于印发宁河区生态环境保护“十四五”规划的通知（津宁河政办发〔2023〕1号）》</w:t>
            </w:r>
          </w:p>
        </w:tc>
      </w:tr>
    </w:tbl>
    <w:p>
      <w:pPr>
        <w:spacing w:line="18785" w:lineRule="exact"/>
        <w:rPr>
          <w:vanish/>
          <w:lang w:eastAsia="zh-CN"/>
        </w:rPr>
      </w:pPr>
    </w:p>
    <w:p>
      <w:pPr>
        <w:kinsoku/>
        <w:autoSpaceDE/>
        <w:autoSpaceDN/>
        <w:adjustRightInd/>
        <w:snapToGrid/>
        <w:textAlignment w:val="auto"/>
        <w:rPr>
          <w:lang w:eastAsia="zh-CN"/>
        </w:rPr>
      </w:pPr>
      <w:r>
        <w:rPr>
          <w:lang w:eastAsia="zh-CN"/>
        </w:rPr>
        <w:br w:type="page"/>
      </w:r>
    </w:p>
    <w:p>
      <w:pPr>
        <w:spacing w:before="120" w:line="216" w:lineRule="auto"/>
        <w:ind w:left="34"/>
        <w:outlineLvl w:val="0"/>
        <w:rPr>
          <w:rFonts w:ascii="Times New Roman" w:hAnsi="Times New Roman" w:eastAsia="黑体" w:cs="Times New Roman"/>
          <w:bCs/>
          <w:snapToGrid/>
          <w:color w:val="auto"/>
          <w:kern w:val="44"/>
          <w:sz w:val="44"/>
          <w:szCs w:val="44"/>
          <w:lang w:eastAsia="zh-CN"/>
        </w:rPr>
      </w:pPr>
      <w:bookmarkStart w:id="14" w:name="_Toc342889283"/>
      <w:bookmarkStart w:id="15" w:name="_Toc943475970"/>
      <w:bookmarkStart w:id="16" w:name="_Toc898018987"/>
      <w:bookmarkStart w:id="17" w:name="_Toc1610478303"/>
      <w:bookmarkStart w:id="18" w:name="_Toc59523545"/>
      <w:bookmarkStart w:id="19" w:name="_Toc582302190"/>
      <w:bookmarkStart w:id="20" w:name="_Toc1104300361"/>
      <w:r>
        <w:rPr>
          <w:rFonts w:hint="eastAsia" w:ascii="Times New Roman" w:hAnsi="Times New Roman" w:eastAsia="黑体" w:cs="Times New Roman"/>
          <w:bCs/>
          <w:snapToGrid/>
          <w:color w:val="auto"/>
          <w:kern w:val="44"/>
          <w:sz w:val="44"/>
          <w:szCs w:val="44"/>
          <w:lang w:eastAsia="zh-CN"/>
        </w:rPr>
        <w:t>二．天津市生态环境准入清单</w:t>
      </w:r>
      <w:r>
        <w:rPr>
          <w:rFonts w:ascii="Times New Roman" w:hAnsi="Times New Roman" w:eastAsia="黑体" w:cs="Times New Roman"/>
          <w:bCs/>
          <w:snapToGrid/>
          <w:color w:val="auto"/>
          <w:kern w:val="44"/>
          <w:sz w:val="44"/>
          <w:szCs w:val="44"/>
          <w:lang w:eastAsia="zh-CN"/>
        </w:rPr>
        <w:t>宁河区</w:t>
      </w:r>
      <w:r>
        <w:rPr>
          <w:rFonts w:hint="eastAsia" w:ascii="Times New Roman" w:hAnsi="Times New Roman" w:eastAsia="黑体" w:cs="Times New Roman"/>
          <w:bCs/>
          <w:snapToGrid/>
          <w:color w:val="auto"/>
          <w:kern w:val="44"/>
          <w:sz w:val="44"/>
          <w:szCs w:val="44"/>
          <w:lang w:eastAsia="zh-CN"/>
        </w:rPr>
        <w:t>单元管控要求</w:t>
      </w:r>
      <w:bookmarkEnd w:id="14"/>
      <w:bookmarkEnd w:id="15"/>
      <w:bookmarkEnd w:id="16"/>
      <w:bookmarkEnd w:id="17"/>
      <w:bookmarkEnd w:id="18"/>
      <w:bookmarkEnd w:id="19"/>
      <w:bookmarkEnd w:id="20"/>
    </w:p>
    <w:p>
      <w:pPr>
        <w:spacing w:before="120" w:line="216" w:lineRule="auto"/>
        <w:outlineLvl w:val="0"/>
        <w:rPr>
          <w:rFonts w:hint="eastAsia" w:ascii="黑体" w:hAnsi="黑体" w:eastAsia="黑体" w:cs="黑体"/>
          <w:sz w:val="28"/>
          <w:szCs w:val="28"/>
          <w:lang w:eastAsia="zh-CN"/>
        </w:rPr>
      </w:pPr>
      <w:bookmarkStart w:id="21" w:name="_Toc1425626275"/>
      <w:bookmarkStart w:id="22" w:name="_Toc1540063358"/>
      <w:bookmarkStart w:id="23" w:name="_Toc1153071091"/>
      <w:bookmarkStart w:id="24" w:name="_Toc180079719"/>
      <w:bookmarkStart w:id="25" w:name="_Toc1086987621"/>
      <w:bookmarkStart w:id="26" w:name="_Toc1943915089"/>
      <w:bookmarkStart w:id="27" w:name="_Toc1964854175"/>
      <w:r>
        <w:rPr>
          <w:rFonts w:hint="eastAsia" w:ascii="Times New Roman" w:hAnsi="Times New Roman" w:eastAsia="黑体" w:cs="Times New Roman"/>
          <w:bCs/>
          <w:snapToGrid/>
          <w:color w:val="auto"/>
          <w:kern w:val="2"/>
          <w:sz w:val="36"/>
          <w:szCs w:val="36"/>
          <w:lang w:eastAsia="zh-CN"/>
        </w:rPr>
        <w:t>1.宁河区优先保护</w:t>
      </w:r>
      <w:r>
        <w:rPr>
          <w:rFonts w:ascii="Times New Roman" w:hAnsi="Times New Roman" w:eastAsia="黑体" w:cs="Times New Roman"/>
          <w:bCs/>
          <w:snapToGrid/>
          <w:color w:val="auto"/>
          <w:kern w:val="2"/>
          <w:sz w:val="36"/>
          <w:szCs w:val="36"/>
          <w:lang w:eastAsia="zh-CN"/>
        </w:rPr>
        <w:t>单元</w:t>
      </w:r>
      <w:r>
        <w:rPr>
          <w:rFonts w:hint="eastAsia" w:ascii="Times New Roman" w:hAnsi="Times New Roman" w:eastAsia="黑体" w:cs="Times New Roman"/>
          <w:bCs/>
          <w:snapToGrid/>
          <w:color w:val="auto"/>
          <w:kern w:val="2"/>
          <w:sz w:val="36"/>
          <w:szCs w:val="36"/>
          <w:lang w:eastAsia="zh-CN"/>
        </w:rPr>
        <w:t>管控要求</w:t>
      </w:r>
      <w:bookmarkEnd w:id="21"/>
      <w:bookmarkEnd w:id="22"/>
      <w:bookmarkEnd w:id="23"/>
      <w:bookmarkEnd w:id="24"/>
      <w:bookmarkEnd w:id="25"/>
      <w:bookmarkEnd w:id="26"/>
      <w:bookmarkEnd w:id="27"/>
    </w:p>
    <w:p>
      <w:pPr>
        <w:spacing w:before="120" w:line="216" w:lineRule="auto"/>
        <w:outlineLvl w:val="0"/>
        <w:rPr>
          <w:rFonts w:ascii="Times New Roman" w:hAnsi="Times New Roman" w:eastAsia="黑体" w:cs="Times New Roman"/>
          <w:bCs/>
          <w:snapToGrid/>
          <w:color w:val="auto"/>
          <w:kern w:val="2"/>
          <w:sz w:val="28"/>
          <w:szCs w:val="32"/>
          <w:lang w:eastAsia="zh-CN"/>
        </w:rPr>
      </w:pPr>
      <w:bookmarkStart w:id="28" w:name="_Toc771654542"/>
      <w:bookmarkStart w:id="29" w:name="_Toc1731937332"/>
      <w:bookmarkStart w:id="30" w:name="_Toc1226204828"/>
      <w:bookmarkStart w:id="31" w:name="_Toc1659560127"/>
      <w:bookmarkStart w:id="32" w:name="_Toc312307648"/>
      <w:bookmarkStart w:id="33" w:name="_Toc2015804647"/>
      <w:bookmarkStart w:id="34" w:name="_Toc673805725"/>
      <w:r>
        <w:rPr>
          <w:rFonts w:hint="eastAsia" w:ascii="Times New Roman" w:hAnsi="Times New Roman" w:eastAsia="黑体" w:cs="Times New Roman"/>
          <w:bCs/>
          <w:snapToGrid/>
          <w:color w:val="auto"/>
          <w:kern w:val="2"/>
          <w:sz w:val="28"/>
          <w:szCs w:val="32"/>
          <w:lang w:eastAsia="zh-CN"/>
        </w:rPr>
        <w:t>1.1宁河区生态保护红线单元管控要求</w:t>
      </w:r>
      <w:bookmarkEnd w:id="28"/>
      <w:bookmarkEnd w:id="29"/>
      <w:bookmarkEnd w:id="30"/>
      <w:bookmarkEnd w:id="31"/>
      <w:bookmarkEnd w:id="32"/>
      <w:bookmarkEnd w:id="33"/>
      <w:bookmarkEnd w:id="34"/>
    </w:p>
    <w:p>
      <w:pPr>
        <w:spacing w:line="154" w:lineRule="exact"/>
        <w:rPr>
          <w:lang w:eastAsia="zh-CN"/>
        </w:rPr>
      </w:pPr>
    </w:p>
    <w:tbl>
      <w:tblPr>
        <w:tblStyle w:val="16"/>
        <w:tblW w:w="209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5"/>
        <w:gridCol w:w="2400"/>
        <w:gridCol w:w="1300"/>
        <w:gridCol w:w="1292"/>
        <w:gridCol w:w="1155"/>
        <w:gridCol w:w="10821"/>
        <w:gridCol w:w="871"/>
        <w:gridCol w:w="850"/>
        <w:gridCol w:w="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295" w:type="dxa"/>
            <w:vAlign w:val="center"/>
          </w:tcPr>
          <w:p>
            <w:pPr>
              <w:spacing w:before="91" w:line="217"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环境管控单元编码</w:t>
            </w:r>
          </w:p>
        </w:tc>
        <w:tc>
          <w:tcPr>
            <w:tcW w:w="2400" w:type="dxa"/>
            <w:vAlign w:val="center"/>
          </w:tcPr>
          <w:p>
            <w:pPr>
              <w:spacing w:before="91" w:line="217"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环境管控单元名称</w:t>
            </w:r>
          </w:p>
        </w:tc>
        <w:tc>
          <w:tcPr>
            <w:tcW w:w="1300" w:type="dxa"/>
            <w:vAlign w:val="center"/>
          </w:tcPr>
          <w:p>
            <w:pPr>
              <w:spacing w:before="91" w:line="278" w:lineRule="auto"/>
              <w:ind w:right="13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行政区划</w:t>
            </w:r>
          </w:p>
        </w:tc>
        <w:tc>
          <w:tcPr>
            <w:tcW w:w="1292" w:type="dxa"/>
            <w:vAlign w:val="center"/>
          </w:tcPr>
          <w:p>
            <w:pPr>
              <w:spacing w:before="118" w:line="264" w:lineRule="auto"/>
              <w:ind w:right="13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管控单元分类</w:t>
            </w:r>
          </w:p>
        </w:tc>
        <w:tc>
          <w:tcPr>
            <w:tcW w:w="1155" w:type="dxa"/>
            <w:vAlign w:val="center"/>
          </w:tcPr>
          <w:p>
            <w:pPr>
              <w:spacing w:before="91" w:line="221"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p>
        </w:tc>
        <w:tc>
          <w:tcPr>
            <w:tcW w:w="10821" w:type="dxa"/>
            <w:vAlign w:val="center"/>
          </w:tcPr>
          <w:p>
            <w:pPr>
              <w:spacing w:before="91" w:line="216"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空间布局约束</w:t>
            </w:r>
          </w:p>
        </w:tc>
        <w:tc>
          <w:tcPr>
            <w:tcW w:w="871" w:type="dxa"/>
            <w:vAlign w:val="center"/>
          </w:tcPr>
          <w:p>
            <w:pPr>
              <w:spacing w:before="118" w:line="217"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污染物排放管控</w:t>
            </w:r>
          </w:p>
        </w:tc>
        <w:tc>
          <w:tcPr>
            <w:tcW w:w="850" w:type="dxa"/>
            <w:vAlign w:val="center"/>
          </w:tcPr>
          <w:p>
            <w:pPr>
              <w:spacing w:before="91" w:line="277" w:lineRule="auto"/>
              <w:ind w:right="20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环境风险防控</w:t>
            </w:r>
          </w:p>
        </w:tc>
        <w:tc>
          <w:tcPr>
            <w:tcW w:w="943" w:type="dxa"/>
            <w:vAlign w:val="center"/>
          </w:tcPr>
          <w:p>
            <w:pPr>
              <w:spacing w:before="118" w:line="264" w:lineRule="auto"/>
              <w:ind w:right="205"/>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资源开发效率要求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8" w:hRule="atLeast"/>
          <w:jc w:val="center"/>
        </w:trPr>
        <w:tc>
          <w:tcPr>
            <w:tcW w:w="1295" w:type="dxa"/>
            <w:vAlign w:val="center"/>
          </w:tcPr>
          <w:p>
            <w:pPr>
              <w:spacing w:before="81" w:line="326" w:lineRule="auto"/>
              <w:ind w:right="131"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ZH12011710001</w:t>
            </w:r>
          </w:p>
        </w:tc>
        <w:tc>
          <w:tcPr>
            <w:tcW w:w="2400" w:type="dxa"/>
            <w:vAlign w:val="center"/>
          </w:tcPr>
          <w:p>
            <w:pPr>
              <w:spacing w:before="91" w:line="283" w:lineRule="auto"/>
              <w:ind w:right="10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潮白新河河滨岸带生态保</w:t>
            </w:r>
            <w:bookmarkStart w:id="35" w:name="bookmark2"/>
            <w:bookmarkEnd w:id="35"/>
            <w:r>
              <w:rPr>
                <w:rFonts w:hint="eastAsia" w:ascii="仿宋_GB2312" w:hAnsi="仿宋_GB2312" w:eastAsia="仿宋_GB2312" w:cs="仿宋_GB2312"/>
                <w:sz w:val="28"/>
                <w:szCs w:val="28"/>
                <w:lang w:eastAsia="zh-CN"/>
              </w:rPr>
              <w:t>护红线</w:t>
            </w:r>
          </w:p>
        </w:tc>
        <w:tc>
          <w:tcPr>
            <w:tcW w:w="1300" w:type="dxa"/>
            <w:vAlign w:val="center"/>
          </w:tcPr>
          <w:p>
            <w:pPr>
              <w:spacing w:before="91" w:line="281" w:lineRule="auto"/>
              <w:ind w:right="13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宁河区</w:t>
            </w:r>
          </w:p>
        </w:tc>
        <w:tc>
          <w:tcPr>
            <w:tcW w:w="1292" w:type="dxa"/>
            <w:vAlign w:val="center"/>
          </w:tcPr>
          <w:p>
            <w:pPr>
              <w:spacing w:before="91" w:line="280" w:lineRule="auto"/>
              <w:ind w:right="13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优先保护单元</w:t>
            </w:r>
          </w:p>
        </w:tc>
        <w:tc>
          <w:tcPr>
            <w:tcW w:w="1155" w:type="dxa"/>
            <w:vAlign w:val="center"/>
          </w:tcPr>
          <w:p>
            <w:pPr>
              <w:spacing w:before="91" w:line="282" w:lineRule="auto"/>
              <w:ind w:right="13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生态保护红线</w:t>
            </w:r>
          </w:p>
        </w:tc>
        <w:tc>
          <w:tcPr>
            <w:tcW w:w="10821" w:type="dxa"/>
            <w:vAlign w:val="center"/>
          </w:tcPr>
          <w:p>
            <w:pPr>
              <w:pStyle w:val="2"/>
              <w:spacing w:line="44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1．执行市级总体管控要求和宁河区区级管控要求。</w:t>
            </w:r>
          </w:p>
          <w:p>
            <w:pPr>
              <w:spacing w:before="0" w:line="440" w:lineRule="exact"/>
              <w:ind w:right="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依据《关于在国土空间规划中统筹划定落实三条控制线的指导意见》，自然保护地核心保护区原则上禁止人为活动，其他区域严格禁止开发性、生产性建设活动，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p>
          <w:p>
            <w:pPr>
              <w:spacing w:before="0" w:line="440" w:lineRule="exact"/>
              <w:ind w:right="0"/>
              <w:jc w:val="both"/>
              <w:rPr>
                <w:rFonts w:hint="eastAsia" w:ascii="仿宋_GB2312" w:hAnsi="仿宋_GB2312" w:eastAsia="仿宋_GB2312" w:cs="仿宋_GB2312"/>
                <w:color w:val="00B050"/>
                <w:spacing w:val="-4"/>
                <w:sz w:val="28"/>
                <w:szCs w:val="28"/>
                <w:lang w:eastAsia="zh-CN"/>
              </w:rPr>
            </w:pPr>
            <w:r>
              <w:rPr>
                <w:rFonts w:hint="eastAsia" w:ascii="仿宋_GB2312" w:hAnsi="仿宋_GB2312" w:eastAsia="仿宋_GB2312" w:cs="仿宋_GB2312"/>
                <w:sz w:val="28"/>
                <w:szCs w:val="28"/>
                <w:lang w:eastAsia="zh-CN"/>
              </w:rPr>
              <w:t>3.严格落实生态保护红线、永久性保护生态区域、绿色生态屏障管控要求，严守七里海湿地、潮白新河、永定新河、蓟运河河滨岸带等生态空间，加强保护与管理，严禁开发建设挤占生态空间。</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p>
            <w:pPr>
              <w:spacing w:before="0" w:line="440" w:lineRule="exact"/>
              <w:ind w:right="0"/>
              <w:jc w:val="both"/>
              <w:rPr>
                <w:rFonts w:hint="eastAsia" w:ascii="仿宋_GB2312" w:hAnsi="仿宋_GB2312" w:eastAsia="仿宋_GB2312" w:cs="仿宋_GB2312"/>
                <w:color w:val="00B050"/>
                <w:spacing w:val="-4"/>
                <w:sz w:val="28"/>
                <w:szCs w:val="28"/>
                <w:lang w:eastAsia="zh-CN"/>
              </w:rPr>
            </w:pPr>
            <w:r>
              <w:rPr>
                <w:rFonts w:hint="eastAsia" w:ascii="仿宋_GB2312" w:hAnsi="仿宋_GB2312" w:eastAsia="仿宋_GB2312" w:cs="仿宋_GB2312"/>
                <w:sz w:val="28"/>
                <w:szCs w:val="28"/>
                <w:lang w:eastAsia="zh-CN"/>
              </w:rPr>
              <w:t>4.加强湿地水网资源保护，推进潮白新河、蓟运河等重要水系综合治理，通过水系连通循环、生态补水净化等措施修复水体生态环境。健全自然保护地体系，保护修复国家重要湿地，严守生态保护红线，坚决守护“京津绿肺”。</w:t>
            </w:r>
            <w:r>
              <w:rPr>
                <w:rFonts w:hint="eastAsia" w:ascii="仿宋_GB2312" w:hAnsi="仿宋_GB2312" w:eastAsia="仿宋_GB2312" w:cs="仿宋_GB2312"/>
                <w:color w:val="00B050"/>
                <w:spacing w:val="-4"/>
                <w:sz w:val="28"/>
                <w:szCs w:val="28"/>
                <w:lang w:eastAsia="zh-CN"/>
              </w:rPr>
              <w:t>依据《天津市宁河区国土空间总体规划(2021－2035年)》</w:t>
            </w:r>
          </w:p>
          <w:p>
            <w:pPr>
              <w:spacing w:before="0" w:line="440" w:lineRule="exact"/>
              <w:ind w:right="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5.严格控制林地转为非林地，实行占用林地总量控制，划定林地保护等级，加强林地用途管制，从严管控生态保护红线内林地。</w:t>
            </w:r>
            <w:r>
              <w:rPr>
                <w:rFonts w:hint="eastAsia" w:ascii="仿宋_GB2312" w:hAnsi="仿宋_GB2312" w:eastAsia="仿宋_GB2312" w:cs="仿宋_GB2312"/>
                <w:color w:val="00B050"/>
                <w:spacing w:val="-4"/>
                <w:sz w:val="28"/>
                <w:szCs w:val="28"/>
                <w:lang w:eastAsia="zh-CN"/>
              </w:rPr>
              <w:t>依据《天津市宁河区国土空间总体规划(2021－2035年)》</w:t>
            </w:r>
          </w:p>
        </w:tc>
        <w:tc>
          <w:tcPr>
            <w:tcW w:w="871" w:type="dxa"/>
            <w:vAlign w:val="center"/>
          </w:tcPr>
          <w:p>
            <w:pPr>
              <w:spacing w:before="0" w:line="240" w:lineRule="auto"/>
              <w:ind w:firstLine="0" w:firstLineChars="0"/>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8"/>
                <w:szCs w:val="28"/>
                <w:lang w:val="en-US" w:eastAsia="zh-CN"/>
              </w:rPr>
              <w:t>/</w:t>
            </w:r>
          </w:p>
        </w:tc>
        <w:tc>
          <w:tcPr>
            <w:tcW w:w="850" w:type="dxa"/>
            <w:vAlign w:val="center"/>
          </w:tcPr>
          <w:p>
            <w:pPr>
              <w:spacing w:before="0" w:line="240" w:lineRule="auto"/>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943" w:type="dxa"/>
            <w:vAlign w:val="center"/>
          </w:tcPr>
          <w:p>
            <w:pPr>
              <w:spacing w:before="0" w:line="240" w:lineRule="auto"/>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5" w:hRule="atLeast"/>
          <w:jc w:val="center"/>
        </w:trPr>
        <w:tc>
          <w:tcPr>
            <w:tcW w:w="1295" w:type="dxa"/>
            <w:vAlign w:val="center"/>
          </w:tcPr>
          <w:p>
            <w:pPr>
              <w:spacing w:before="81" w:line="326" w:lineRule="auto"/>
              <w:ind w:left="140" w:right="131" w:hanging="29"/>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ZH12011710002</w:t>
            </w:r>
          </w:p>
        </w:tc>
        <w:tc>
          <w:tcPr>
            <w:tcW w:w="2400" w:type="dxa"/>
            <w:vAlign w:val="center"/>
          </w:tcPr>
          <w:p>
            <w:pPr>
              <w:spacing w:before="91" w:line="283" w:lineRule="auto"/>
              <w:ind w:right="10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蓟运河河滨岸带生态保护红线</w:t>
            </w:r>
          </w:p>
        </w:tc>
        <w:tc>
          <w:tcPr>
            <w:tcW w:w="1300" w:type="dxa"/>
            <w:shd w:val="clear" w:color="auto" w:fill="auto"/>
            <w:vAlign w:val="center"/>
          </w:tcPr>
          <w:p>
            <w:pPr>
              <w:spacing w:before="91" w:line="281" w:lineRule="auto"/>
              <w:ind w:right="13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宁河区</w:t>
            </w:r>
          </w:p>
        </w:tc>
        <w:tc>
          <w:tcPr>
            <w:tcW w:w="1292" w:type="dxa"/>
            <w:shd w:val="clear" w:color="auto" w:fill="auto"/>
            <w:vAlign w:val="center"/>
          </w:tcPr>
          <w:p>
            <w:pPr>
              <w:spacing w:before="91" w:line="280" w:lineRule="auto"/>
              <w:ind w:right="13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优先保护单元</w:t>
            </w:r>
          </w:p>
        </w:tc>
        <w:tc>
          <w:tcPr>
            <w:tcW w:w="1155" w:type="dxa"/>
            <w:shd w:val="clear" w:color="auto" w:fill="auto"/>
            <w:vAlign w:val="center"/>
          </w:tcPr>
          <w:p>
            <w:pPr>
              <w:spacing w:before="91" w:line="282" w:lineRule="auto"/>
              <w:ind w:right="13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生态保护红线</w:t>
            </w:r>
          </w:p>
        </w:tc>
        <w:tc>
          <w:tcPr>
            <w:tcW w:w="10821" w:type="dxa"/>
            <w:vAlign w:val="top"/>
          </w:tcPr>
          <w:p>
            <w:pPr>
              <w:pStyle w:val="2"/>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1．执行市级总体管控要求和宁河区区级管控要求。</w:t>
            </w:r>
          </w:p>
          <w:p>
            <w:pPr>
              <w:spacing w:before="105" w:line="285" w:lineRule="auto"/>
              <w:ind w:right="8"/>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依据《关于在国土空间规划中统筹划定落实三条控制线的指导意见》，自然保护地核心保护区原则上禁止人为活动，其他区域严格禁止开发性、生产性建设活动，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p>
          <w:p>
            <w:pPr>
              <w:spacing w:before="105" w:line="285" w:lineRule="auto"/>
              <w:ind w:right="8"/>
              <w:jc w:val="both"/>
              <w:rPr>
                <w:rFonts w:hint="eastAsia" w:ascii="仿宋_GB2312" w:hAnsi="仿宋_GB2312" w:eastAsia="仿宋_GB2312" w:cs="仿宋_GB2312"/>
                <w:color w:val="00B050"/>
                <w:spacing w:val="-4"/>
                <w:sz w:val="28"/>
                <w:szCs w:val="28"/>
                <w:lang w:eastAsia="zh-CN"/>
              </w:rPr>
            </w:pPr>
            <w:r>
              <w:rPr>
                <w:rFonts w:hint="eastAsia" w:ascii="仿宋_GB2312" w:hAnsi="仿宋_GB2312" w:eastAsia="仿宋_GB2312" w:cs="仿宋_GB2312"/>
                <w:sz w:val="28"/>
                <w:szCs w:val="28"/>
                <w:lang w:eastAsia="zh-CN"/>
              </w:rPr>
              <w:t>3.严格落实生态保护红线、永久性保护生态区域、绿色生态屏障管控要求，严守七里海湿地、潮白新河、永定新河、蓟运河河滨岸带等生态空间，加强保护与管理，严禁开发建设挤占生态空间。</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p>
            <w:pPr>
              <w:spacing w:before="105" w:line="285" w:lineRule="auto"/>
              <w:ind w:right="8"/>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加强湿地水网资源保护，推进潮白新河、蓟运河等重要水系综合治理，通过水系连通循环、生态补水净化等措施修复水体生态环境。健全自然保护地体系，保护修复国家重要湿地，严守生态保护红线，坚决守护“京津绿肺”。</w:t>
            </w:r>
            <w:r>
              <w:rPr>
                <w:rFonts w:hint="eastAsia" w:ascii="仿宋_GB2312" w:hAnsi="仿宋_GB2312" w:eastAsia="仿宋_GB2312" w:cs="仿宋_GB2312"/>
                <w:color w:val="00B050"/>
                <w:spacing w:val="-4"/>
                <w:sz w:val="28"/>
                <w:szCs w:val="28"/>
                <w:lang w:eastAsia="zh-CN"/>
              </w:rPr>
              <w:t>依据《天津市宁河区国土空间总体规划(2021－2035年)》</w:t>
            </w:r>
          </w:p>
          <w:p>
            <w:pPr>
              <w:spacing w:before="105" w:line="285" w:lineRule="auto"/>
              <w:ind w:right="8"/>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5.严格控制林地转为非林地，实行占用林地总量控制，划定林地保护等级，加强林地用途管制，从严管控生态保护红线内林地。</w:t>
            </w:r>
            <w:r>
              <w:rPr>
                <w:rFonts w:hint="eastAsia" w:ascii="仿宋_GB2312" w:hAnsi="仿宋_GB2312" w:eastAsia="仿宋_GB2312" w:cs="仿宋_GB2312"/>
                <w:color w:val="00B050"/>
                <w:spacing w:val="-4"/>
                <w:sz w:val="28"/>
                <w:szCs w:val="28"/>
                <w:lang w:eastAsia="zh-CN"/>
              </w:rPr>
              <w:t>依据《天津市宁河区国土空间总体规划(2021－2035年)》</w:t>
            </w:r>
          </w:p>
          <w:p>
            <w:pPr>
              <w:spacing w:before="105" w:line="285" w:lineRule="auto"/>
              <w:ind w:right="8"/>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6.加强蓟运河沿线重点区域的生态建设与修复。</w:t>
            </w:r>
            <w:r>
              <w:rPr>
                <w:rFonts w:hint="eastAsia" w:ascii="仿宋_GB2312" w:hAnsi="仿宋_GB2312" w:eastAsia="仿宋_GB2312" w:cs="仿宋_GB2312"/>
                <w:color w:val="00B050"/>
                <w:spacing w:val="-4"/>
                <w:sz w:val="28"/>
                <w:szCs w:val="28"/>
                <w:lang w:eastAsia="zh-CN"/>
              </w:rPr>
              <w:t>依据《天津市宁河区国土空间总体规划(2021－2035年)》</w:t>
            </w:r>
          </w:p>
        </w:tc>
        <w:tc>
          <w:tcPr>
            <w:tcW w:w="871" w:type="dxa"/>
            <w:shd w:val="clear" w:color="auto" w:fill="auto"/>
            <w:vAlign w:val="center"/>
          </w:tcPr>
          <w:p>
            <w:pPr>
              <w:spacing w:before="0" w:line="240" w:lineRule="auto"/>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w:t>
            </w:r>
          </w:p>
        </w:tc>
        <w:tc>
          <w:tcPr>
            <w:tcW w:w="850" w:type="dxa"/>
            <w:shd w:val="clear" w:color="auto" w:fill="auto"/>
            <w:vAlign w:val="center"/>
          </w:tcPr>
          <w:p>
            <w:pPr>
              <w:spacing w:before="0" w:line="240" w:lineRule="auto"/>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943" w:type="dxa"/>
            <w:shd w:val="clear" w:color="auto" w:fill="auto"/>
            <w:vAlign w:val="center"/>
          </w:tcPr>
          <w:p>
            <w:pPr>
              <w:spacing w:before="0" w:line="240" w:lineRule="auto"/>
              <w:ind w:firstLine="0" w:firstLineChars="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0" w:hRule="atLeast"/>
          <w:jc w:val="center"/>
        </w:trPr>
        <w:tc>
          <w:tcPr>
            <w:tcW w:w="1295" w:type="dxa"/>
            <w:vAlign w:val="center"/>
          </w:tcPr>
          <w:p>
            <w:pPr>
              <w:spacing w:before="81" w:line="326" w:lineRule="auto"/>
              <w:ind w:left="140" w:right="131" w:hanging="29"/>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ZH12011710003</w:t>
            </w:r>
          </w:p>
        </w:tc>
        <w:tc>
          <w:tcPr>
            <w:tcW w:w="2400" w:type="dxa"/>
            <w:vAlign w:val="center"/>
          </w:tcPr>
          <w:p>
            <w:pPr>
              <w:spacing w:before="91" w:line="283" w:lineRule="auto"/>
              <w:ind w:right="10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七里海湿地生物多样性维护生态保护红线</w:t>
            </w:r>
          </w:p>
        </w:tc>
        <w:tc>
          <w:tcPr>
            <w:tcW w:w="1300" w:type="dxa"/>
            <w:shd w:val="clear" w:color="auto" w:fill="auto"/>
            <w:vAlign w:val="center"/>
          </w:tcPr>
          <w:p>
            <w:pPr>
              <w:spacing w:before="91" w:line="281" w:lineRule="auto"/>
              <w:ind w:right="13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宁河区</w:t>
            </w:r>
          </w:p>
        </w:tc>
        <w:tc>
          <w:tcPr>
            <w:tcW w:w="1292" w:type="dxa"/>
            <w:shd w:val="clear" w:color="auto" w:fill="auto"/>
            <w:vAlign w:val="center"/>
          </w:tcPr>
          <w:p>
            <w:pPr>
              <w:spacing w:before="91" w:line="280" w:lineRule="auto"/>
              <w:ind w:right="13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优先保护单元</w:t>
            </w:r>
          </w:p>
        </w:tc>
        <w:tc>
          <w:tcPr>
            <w:tcW w:w="1155" w:type="dxa"/>
            <w:shd w:val="clear" w:color="auto" w:fill="auto"/>
            <w:vAlign w:val="center"/>
          </w:tcPr>
          <w:p>
            <w:pPr>
              <w:spacing w:before="91" w:line="282" w:lineRule="auto"/>
              <w:ind w:right="13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生态保护红线</w:t>
            </w:r>
          </w:p>
        </w:tc>
        <w:tc>
          <w:tcPr>
            <w:tcW w:w="10821" w:type="dxa"/>
            <w:vAlign w:val="top"/>
          </w:tcPr>
          <w:p>
            <w:pPr>
              <w:pStyle w:val="2"/>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1．执行市级总体管控要求和宁河区区级管控要求。</w:t>
            </w:r>
          </w:p>
          <w:p>
            <w:pPr>
              <w:spacing w:before="105" w:line="285" w:lineRule="auto"/>
              <w:ind w:right="8"/>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依据《关于在国土空间规划中统筹划定落实三条控制线的指导意见》，自然保护地核心保护区原则上禁止人为活动，其他区域严格禁止开发性、生产性建设活动，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p>
          <w:p>
            <w:pPr>
              <w:spacing w:before="105" w:line="285" w:lineRule="auto"/>
              <w:ind w:right="8"/>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3.严格落实生态保护红线、永久性保护生态区域、绿色生态屏障管控要求，严守七里海湿地、潮白新河、永定新河、蓟运河河滨岸带等生态空间，加强保护与管理，严禁开发建设挤占生态空间。</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p>
            <w:pPr>
              <w:spacing w:before="105" w:line="285" w:lineRule="auto"/>
              <w:ind w:right="8"/>
              <w:jc w:val="both"/>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pacing w:val="-4"/>
                <w:sz w:val="28"/>
                <w:szCs w:val="28"/>
                <w:lang w:eastAsia="zh-CN"/>
              </w:rPr>
              <w:t>加强水系连通，湿地修复，植被恢复。</w:t>
            </w:r>
            <w:r>
              <w:rPr>
                <w:rFonts w:hint="eastAsia" w:ascii="仿宋_GB2312" w:hAnsi="仿宋_GB2312" w:eastAsia="仿宋_GB2312" w:cs="仿宋_GB2312"/>
                <w:color w:val="00B050"/>
                <w:spacing w:val="-4"/>
                <w:sz w:val="28"/>
                <w:szCs w:val="28"/>
                <w:lang w:eastAsia="zh-CN"/>
              </w:rPr>
              <w:t>依据《天津市宁河区国土空间总体规划(2021－2035年)》</w:t>
            </w:r>
          </w:p>
          <w:p>
            <w:pPr>
              <w:spacing w:before="105" w:line="285" w:lineRule="auto"/>
              <w:ind w:right="8"/>
              <w:jc w:val="both"/>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z w:val="28"/>
                <w:szCs w:val="28"/>
                <w:lang w:eastAsia="zh-CN"/>
              </w:rPr>
              <w:t>5.严格控制林地转为非林地，实行占用林地总量控制，划定林地保护等级，加强林地用途管制，从严管控生态保护红线内林地。</w:t>
            </w:r>
            <w:r>
              <w:rPr>
                <w:rFonts w:hint="eastAsia" w:ascii="仿宋_GB2312" w:hAnsi="仿宋_GB2312" w:eastAsia="仿宋_GB2312" w:cs="仿宋_GB2312"/>
                <w:color w:val="00B050"/>
                <w:spacing w:val="-4"/>
                <w:sz w:val="28"/>
                <w:szCs w:val="28"/>
                <w:lang w:eastAsia="zh-CN"/>
              </w:rPr>
              <w:t>依据《天津市宁河区国土空间总体规划(2021－2035年)》</w:t>
            </w:r>
          </w:p>
          <w:p>
            <w:pPr>
              <w:spacing w:before="105" w:line="285" w:lineRule="auto"/>
              <w:ind w:right="8"/>
              <w:jc w:val="both"/>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pacing w:val="-4"/>
                <w:sz w:val="28"/>
                <w:szCs w:val="28"/>
                <w:lang w:eastAsia="zh-CN"/>
              </w:rPr>
              <w:t>严格管控各类生态空间，永续保护七里海湿地，提升生态系统质量和稳定性。</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871"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w:t>
            </w:r>
          </w:p>
        </w:tc>
        <w:tc>
          <w:tcPr>
            <w:tcW w:w="850"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94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295" w:type="dxa"/>
            <w:vAlign w:val="center"/>
          </w:tcPr>
          <w:p>
            <w:pPr>
              <w:keepNext w:val="0"/>
              <w:keepLines w:val="0"/>
              <w:pageBreakBefore/>
              <w:widowControl/>
              <w:kinsoku w:val="0"/>
              <w:wordWrap/>
              <w:overflowPunct/>
              <w:topLinePunct w:val="0"/>
              <w:autoSpaceDE w:val="0"/>
              <w:autoSpaceDN w:val="0"/>
              <w:bidi w:val="0"/>
              <w:adjustRightInd w:val="0"/>
              <w:snapToGrid w:val="0"/>
              <w:spacing w:before="81" w:line="326" w:lineRule="auto"/>
              <w:ind w:left="140" w:right="131" w:hanging="29"/>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ZH12011710004</w:t>
            </w:r>
          </w:p>
        </w:tc>
        <w:tc>
          <w:tcPr>
            <w:tcW w:w="2400" w:type="dxa"/>
            <w:vAlign w:val="center"/>
          </w:tcPr>
          <w:p>
            <w:pPr>
              <w:keepNext w:val="0"/>
              <w:keepLines w:val="0"/>
              <w:pageBreakBefore/>
              <w:widowControl/>
              <w:kinsoku w:val="0"/>
              <w:wordWrap/>
              <w:overflowPunct/>
              <w:topLinePunct w:val="0"/>
              <w:autoSpaceDE w:val="0"/>
              <w:autoSpaceDN w:val="0"/>
              <w:bidi w:val="0"/>
              <w:adjustRightInd w:val="0"/>
              <w:snapToGrid w:val="0"/>
              <w:spacing w:before="91" w:line="283" w:lineRule="auto"/>
              <w:ind w:right="107"/>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永定新河河滨岸带生态保护红线</w:t>
            </w:r>
          </w:p>
        </w:tc>
        <w:tc>
          <w:tcPr>
            <w:tcW w:w="1300" w:type="dxa"/>
            <w:shd w:val="clear" w:color="auto" w:fill="auto"/>
            <w:vAlign w:val="center"/>
          </w:tcPr>
          <w:p>
            <w:pPr>
              <w:keepNext w:val="0"/>
              <w:keepLines w:val="0"/>
              <w:pageBreakBefore/>
              <w:widowControl/>
              <w:kinsoku w:val="0"/>
              <w:wordWrap/>
              <w:overflowPunct/>
              <w:topLinePunct w:val="0"/>
              <w:autoSpaceDE w:val="0"/>
              <w:autoSpaceDN w:val="0"/>
              <w:bidi w:val="0"/>
              <w:adjustRightInd w:val="0"/>
              <w:snapToGrid w:val="0"/>
              <w:spacing w:before="91" w:line="281" w:lineRule="auto"/>
              <w:ind w:right="133"/>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宁河区</w:t>
            </w:r>
          </w:p>
        </w:tc>
        <w:tc>
          <w:tcPr>
            <w:tcW w:w="1292" w:type="dxa"/>
            <w:shd w:val="clear" w:color="auto" w:fill="auto"/>
            <w:vAlign w:val="center"/>
          </w:tcPr>
          <w:p>
            <w:pPr>
              <w:keepNext w:val="0"/>
              <w:keepLines w:val="0"/>
              <w:pageBreakBefore/>
              <w:widowControl/>
              <w:kinsoku w:val="0"/>
              <w:wordWrap/>
              <w:overflowPunct/>
              <w:topLinePunct w:val="0"/>
              <w:autoSpaceDE w:val="0"/>
              <w:autoSpaceDN w:val="0"/>
              <w:bidi w:val="0"/>
              <w:adjustRightInd w:val="0"/>
              <w:snapToGrid w:val="0"/>
              <w:spacing w:before="91" w:line="280" w:lineRule="auto"/>
              <w:ind w:right="134"/>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优先保护单元</w:t>
            </w:r>
          </w:p>
        </w:tc>
        <w:tc>
          <w:tcPr>
            <w:tcW w:w="1155" w:type="dxa"/>
            <w:shd w:val="clear" w:color="auto" w:fill="auto"/>
            <w:vAlign w:val="center"/>
          </w:tcPr>
          <w:p>
            <w:pPr>
              <w:keepNext w:val="0"/>
              <w:keepLines w:val="0"/>
              <w:pageBreakBefore/>
              <w:widowControl/>
              <w:kinsoku w:val="0"/>
              <w:wordWrap/>
              <w:overflowPunct/>
              <w:topLinePunct w:val="0"/>
              <w:autoSpaceDE w:val="0"/>
              <w:autoSpaceDN w:val="0"/>
              <w:bidi w:val="0"/>
              <w:adjustRightInd w:val="0"/>
              <w:snapToGrid w:val="0"/>
              <w:spacing w:before="91" w:line="282" w:lineRule="auto"/>
              <w:ind w:right="134"/>
              <w:jc w:val="center"/>
              <w:textAlignment w:val="baseline"/>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生态保护红线</w:t>
            </w:r>
          </w:p>
        </w:tc>
        <w:tc>
          <w:tcPr>
            <w:tcW w:w="10821" w:type="dxa"/>
            <w:vAlign w:val="center"/>
          </w:tcPr>
          <w:p>
            <w:pPr>
              <w:pStyle w:val="2"/>
              <w:keepNext w:val="0"/>
              <w:keepLines w:val="0"/>
              <w:pageBreakBefore/>
              <w:widowControl/>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1．执行市级总体管控要求和宁河区区级管控要求。</w:t>
            </w:r>
          </w:p>
          <w:p>
            <w:pPr>
              <w:keepNext w:val="0"/>
              <w:keepLines w:val="0"/>
              <w:pageBreakBefore/>
              <w:widowControl/>
              <w:kinsoku w:val="0"/>
              <w:wordWrap/>
              <w:overflowPunct/>
              <w:topLinePunct w:val="0"/>
              <w:autoSpaceDE w:val="0"/>
              <w:autoSpaceDN w:val="0"/>
              <w:bidi w:val="0"/>
              <w:adjustRightInd w:val="0"/>
              <w:snapToGrid w:val="0"/>
              <w:spacing w:before="105" w:line="285" w:lineRule="auto"/>
              <w:ind w:right="8"/>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依据《关于在国土空间规划中统筹划定落实三条控制线的指导意见》，自然保护地核心保护区原则上禁止人为活动，其他区域严格禁止开发性、生产性建设活动，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p>
          <w:p>
            <w:pPr>
              <w:keepNext w:val="0"/>
              <w:keepLines w:val="0"/>
              <w:pageBreakBefore/>
              <w:widowControl/>
              <w:kinsoku w:val="0"/>
              <w:wordWrap/>
              <w:overflowPunct/>
              <w:topLinePunct w:val="0"/>
              <w:autoSpaceDE w:val="0"/>
              <w:autoSpaceDN w:val="0"/>
              <w:bidi w:val="0"/>
              <w:adjustRightInd w:val="0"/>
              <w:snapToGrid w:val="0"/>
              <w:spacing w:before="105" w:line="285" w:lineRule="auto"/>
              <w:ind w:right="8"/>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3.严格落实生态保护红线、永久性保护生态区域、绿色生态屏障管控要求，严守七里海湿地、潮白新河、永定新河、蓟运河河滨岸带等生态空间，加强保护与管理，严禁开发建设挤占生态空间。</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p>
            <w:pPr>
              <w:keepNext w:val="0"/>
              <w:keepLines w:val="0"/>
              <w:pageBreakBefore/>
              <w:widowControl/>
              <w:kinsoku w:val="0"/>
              <w:wordWrap/>
              <w:overflowPunct/>
              <w:topLinePunct w:val="0"/>
              <w:autoSpaceDE w:val="0"/>
              <w:autoSpaceDN w:val="0"/>
              <w:bidi w:val="0"/>
              <w:adjustRightInd w:val="0"/>
              <w:snapToGrid w:val="0"/>
              <w:spacing w:before="105" w:line="285" w:lineRule="auto"/>
              <w:ind w:right="8"/>
              <w:textAlignment w:val="baseline"/>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z w:val="28"/>
                <w:szCs w:val="28"/>
                <w:lang w:eastAsia="zh-CN"/>
              </w:rPr>
              <w:t>4.严格控制林地转为非林地，实行占用林地总量控制，划定林地保护等级，加强林地用途管制，从严管控生态保护红线内林地。</w:t>
            </w:r>
            <w:r>
              <w:rPr>
                <w:rFonts w:hint="eastAsia" w:ascii="仿宋_GB2312" w:hAnsi="仿宋_GB2312" w:eastAsia="仿宋_GB2312" w:cs="仿宋_GB2312"/>
                <w:color w:val="00B050"/>
                <w:spacing w:val="-4"/>
                <w:sz w:val="28"/>
                <w:szCs w:val="28"/>
                <w:lang w:eastAsia="zh-CN"/>
              </w:rPr>
              <w:t>依据《天津市宁河区国土空间总体规划(2021－2035年)》</w:t>
            </w:r>
          </w:p>
        </w:tc>
        <w:tc>
          <w:tcPr>
            <w:tcW w:w="871" w:type="dxa"/>
            <w:shd w:val="clear" w:color="auto" w:fill="auto"/>
            <w:vAlign w:val="center"/>
          </w:tcPr>
          <w:p>
            <w:pPr>
              <w:keepNext w:val="0"/>
              <w:keepLines w:val="0"/>
              <w:pageBreakBefore/>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w:t>
            </w:r>
          </w:p>
        </w:tc>
        <w:tc>
          <w:tcPr>
            <w:tcW w:w="850" w:type="dxa"/>
            <w:shd w:val="clear" w:color="auto" w:fill="auto"/>
            <w:vAlign w:val="center"/>
          </w:tcPr>
          <w:p>
            <w:pPr>
              <w:keepNext w:val="0"/>
              <w:keepLines w:val="0"/>
              <w:pageBreakBefore/>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943" w:type="dxa"/>
            <w:shd w:val="clear" w:color="auto" w:fill="auto"/>
            <w:vAlign w:val="center"/>
          </w:tcPr>
          <w:p>
            <w:pPr>
              <w:keepNext w:val="0"/>
              <w:keepLines w:val="0"/>
              <w:pageBreakBefore/>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r>
    </w:tbl>
    <w:p/>
    <w:p/>
    <w:p>
      <w:pPr>
        <w:kinsoku/>
        <w:autoSpaceDE/>
        <w:autoSpaceDN/>
        <w:adjustRightInd/>
        <w:snapToGrid/>
        <w:textAlignment w:val="auto"/>
        <w:rPr>
          <w:rFonts w:eastAsiaTheme="minorEastAsia"/>
          <w:lang w:eastAsia="zh-CN"/>
        </w:rPr>
      </w:pPr>
    </w:p>
    <w:p>
      <w:pPr>
        <w:ind w:firstLine="5040" w:firstLineChars="2400"/>
      </w:pPr>
    </w:p>
    <w:p>
      <w:pPr>
        <w:pageBreakBefore/>
        <w:spacing w:before="120" w:line="219" w:lineRule="auto"/>
        <w:ind w:left="32"/>
        <w:outlineLvl w:val="0"/>
        <w:rPr>
          <w:rFonts w:ascii="Times New Roman" w:hAnsi="Times New Roman" w:eastAsia="黑体" w:cs="Times New Roman"/>
          <w:bCs/>
          <w:snapToGrid/>
          <w:color w:val="auto"/>
          <w:kern w:val="2"/>
          <w:sz w:val="28"/>
          <w:szCs w:val="32"/>
          <w:lang w:eastAsia="zh-CN"/>
        </w:rPr>
      </w:pPr>
      <w:bookmarkStart w:id="36" w:name="_Toc315489438"/>
      <w:bookmarkStart w:id="37" w:name="_Toc29935435"/>
      <w:bookmarkStart w:id="38" w:name="_Toc852494783"/>
      <w:bookmarkStart w:id="39" w:name="_Toc1758491266"/>
      <w:bookmarkStart w:id="40" w:name="_Toc1250759732"/>
      <w:bookmarkStart w:id="41" w:name="_Toc510510267"/>
      <w:bookmarkStart w:id="42" w:name="_Toc1478040061"/>
      <w:r>
        <w:rPr>
          <w:rFonts w:hint="eastAsia" w:ascii="Times New Roman" w:hAnsi="Times New Roman" w:eastAsia="黑体" w:cs="Times New Roman"/>
          <w:bCs/>
          <w:snapToGrid/>
          <w:color w:val="auto"/>
          <w:kern w:val="2"/>
          <w:sz w:val="28"/>
          <w:szCs w:val="32"/>
          <w:lang w:eastAsia="zh-CN"/>
        </w:rPr>
        <w:t>1.2宁河区一般生态空间单元管控要求</w:t>
      </w:r>
      <w:bookmarkEnd w:id="36"/>
      <w:bookmarkEnd w:id="37"/>
      <w:bookmarkEnd w:id="38"/>
      <w:bookmarkEnd w:id="39"/>
      <w:bookmarkEnd w:id="40"/>
      <w:bookmarkEnd w:id="41"/>
      <w:bookmarkEnd w:id="42"/>
    </w:p>
    <w:p>
      <w:pPr>
        <w:spacing w:line="152" w:lineRule="exact"/>
        <w:rPr>
          <w:lang w:eastAsia="zh-CN"/>
        </w:rPr>
      </w:pPr>
    </w:p>
    <w:tbl>
      <w:tblPr>
        <w:tblStyle w:val="16"/>
        <w:tblW w:w="2092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4"/>
        <w:gridCol w:w="1390"/>
        <w:gridCol w:w="874"/>
        <w:gridCol w:w="1366"/>
        <w:gridCol w:w="720"/>
        <w:gridCol w:w="8970"/>
        <w:gridCol w:w="3266"/>
        <w:gridCol w:w="1132"/>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4" w:type="dxa"/>
            <w:vAlign w:val="center"/>
          </w:tcPr>
          <w:p>
            <w:pPr>
              <w:spacing w:before="91" w:line="278" w:lineRule="auto"/>
              <w:ind w:right="218"/>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环境管控单元</w:t>
            </w:r>
            <w:r>
              <w:rPr>
                <w:rFonts w:hint="eastAsia" w:ascii="仿宋_GB2312" w:hAnsi="仿宋_GB2312" w:eastAsia="仿宋_GB2312" w:cs="仿宋_GB2312"/>
                <w:spacing w:val="-5"/>
                <w:sz w:val="28"/>
                <w:szCs w:val="28"/>
              </w:rPr>
              <w:t>编码</w:t>
            </w:r>
          </w:p>
        </w:tc>
        <w:tc>
          <w:tcPr>
            <w:tcW w:w="1390" w:type="dxa"/>
            <w:vAlign w:val="center"/>
          </w:tcPr>
          <w:p>
            <w:pPr>
              <w:spacing w:before="91" w:line="276" w:lineRule="auto"/>
              <w:ind w:right="11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环境管控单</w:t>
            </w:r>
            <w:r>
              <w:rPr>
                <w:rFonts w:hint="eastAsia" w:ascii="仿宋_GB2312" w:hAnsi="仿宋_GB2312" w:eastAsia="仿宋_GB2312" w:cs="仿宋_GB2312"/>
                <w:spacing w:val="-5"/>
                <w:sz w:val="28"/>
                <w:szCs w:val="28"/>
              </w:rPr>
              <w:t>元名称</w:t>
            </w:r>
          </w:p>
        </w:tc>
        <w:tc>
          <w:tcPr>
            <w:tcW w:w="874" w:type="dxa"/>
            <w:vAlign w:val="center"/>
          </w:tcPr>
          <w:p>
            <w:pPr>
              <w:spacing w:before="91" w:line="278" w:lineRule="auto"/>
              <w:ind w:right="13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行政</w:t>
            </w:r>
            <w:r>
              <w:rPr>
                <w:rFonts w:hint="eastAsia" w:ascii="仿宋_GB2312" w:hAnsi="仿宋_GB2312" w:eastAsia="仿宋_GB2312" w:cs="仿宋_GB2312"/>
                <w:spacing w:val="-21"/>
                <w:sz w:val="28"/>
                <w:szCs w:val="28"/>
              </w:rPr>
              <w:t>区划</w:t>
            </w:r>
          </w:p>
        </w:tc>
        <w:tc>
          <w:tcPr>
            <w:tcW w:w="1366" w:type="dxa"/>
            <w:vAlign w:val="center"/>
          </w:tcPr>
          <w:p>
            <w:pPr>
              <w:spacing w:before="91" w:line="278" w:lineRule="auto"/>
              <w:ind w:right="109"/>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管控单元</w:t>
            </w:r>
            <w:r>
              <w:rPr>
                <w:rFonts w:hint="eastAsia" w:ascii="仿宋_GB2312" w:hAnsi="仿宋_GB2312" w:eastAsia="仿宋_GB2312" w:cs="仿宋_GB2312"/>
                <w:spacing w:val="-6"/>
                <w:sz w:val="28"/>
                <w:szCs w:val="28"/>
              </w:rPr>
              <w:t>分类</w:t>
            </w:r>
          </w:p>
        </w:tc>
        <w:tc>
          <w:tcPr>
            <w:tcW w:w="720" w:type="dxa"/>
            <w:vAlign w:val="center"/>
          </w:tcPr>
          <w:p>
            <w:pPr>
              <w:spacing w:before="91" w:line="221"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备注</w:t>
            </w:r>
          </w:p>
        </w:tc>
        <w:tc>
          <w:tcPr>
            <w:tcW w:w="8970" w:type="dxa"/>
            <w:vAlign w:val="center"/>
          </w:tcPr>
          <w:p>
            <w:pPr>
              <w:spacing w:before="91" w:line="21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空间布局约束</w:t>
            </w:r>
          </w:p>
        </w:tc>
        <w:tc>
          <w:tcPr>
            <w:tcW w:w="3266" w:type="dxa"/>
            <w:vAlign w:val="center"/>
          </w:tcPr>
          <w:p>
            <w:pPr>
              <w:spacing w:before="91" w:line="217"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污染物排放管控</w:t>
            </w:r>
          </w:p>
        </w:tc>
        <w:tc>
          <w:tcPr>
            <w:tcW w:w="1132" w:type="dxa"/>
            <w:vAlign w:val="center"/>
          </w:tcPr>
          <w:p>
            <w:pPr>
              <w:spacing w:before="91" w:line="277" w:lineRule="auto"/>
              <w:ind w:right="138"/>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环境风</w:t>
            </w:r>
            <w:r>
              <w:rPr>
                <w:rFonts w:hint="eastAsia" w:ascii="仿宋_GB2312" w:hAnsi="仿宋_GB2312" w:eastAsia="仿宋_GB2312" w:cs="仿宋_GB2312"/>
                <w:spacing w:val="-10"/>
                <w:sz w:val="28"/>
                <w:szCs w:val="28"/>
              </w:rPr>
              <w:t>险防控</w:t>
            </w:r>
          </w:p>
        </w:tc>
        <w:tc>
          <w:tcPr>
            <w:tcW w:w="108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9" w:line="240" w:lineRule="auto"/>
              <w:ind w:right="113"/>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1"/>
                <w:sz w:val="28"/>
                <w:szCs w:val="28"/>
              </w:rPr>
              <w:t>资源开</w:t>
            </w:r>
            <w:r>
              <w:rPr>
                <w:rFonts w:hint="eastAsia" w:ascii="仿宋_GB2312" w:hAnsi="仿宋_GB2312" w:eastAsia="仿宋_GB2312" w:cs="仿宋_GB2312"/>
                <w:spacing w:val="-8"/>
                <w:sz w:val="28"/>
                <w:szCs w:val="28"/>
              </w:rPr>
              <w:t>发效率</w:t>
            </w:r>
            <w:r>
              <w:rPr>
                <w:rFonts w:hint="eastAsia" w:ascii="仿宋_GB2312" w:hAnsi="仿宋_GB2312" w:eastAsia="仿宋_GB2312" w:cs="仿宋_GB2312"/>
                <w:spacing w:val="57"/>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0" w:hRule="atLeast"/>
        </w:trPr>
        <w:tc>
          <w:tcPr>
            <w:tcW w:w="2124" w:type="dxa"/>
            <w:vAlign w:val="center"/>
          </w:tcPr>
          <w:p>
            <w:pPr>
              <w:spacing w:before="80" w:line="326" w:lineRule="auto"/>
              <w:ind w:right="10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rPr>
              <w:t>ZH12011710005</w:t>
            </w:r>
          </w:p>
        </w:tc>
        <w:tc>
          <w:tcPr>
            <w:tcW w:w="1390" w:type="dxa"/>
            <w:vAlign w:val="center"/>
          </w:tcPr>
          <w:p>
            <w:pPr>
              <w:spacing w:before="91" w:line="284" w:lineRule="auto"/>
              <w:ind w:right="105"/>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lang w:eastAsia="zh-CN"/>
              </w:rPr>
              <w:t>双城中间绿</w:t>
            </w:r>
            <w:r>
              <w:rPr>
                <w:rFonts w:hint="eastAsia" w:ascii="仿宋_GB2312" w:hAnsi="仿宋_GB2312" w:eastAsia="仿宋_GB2312" w:cs="仿宋_GB2312"/>
                <w:spacing w:val="4"/>
                <w:sz w:val="28"/>
                <w:szCs w:val="28"/>
                <w:lang w:eastAsia="zh-CN"/>
              </w:rPr>
              <w:t>色生态屏障区一级管控</w:t>
            </w:r>
            <w:r>
              <w:rPr>
                <w:rFonts w:hint="eastAsia" w:ascii="仿宋_GB2312" w:hAnsi="仿宋_GB2312" w:eastAsia="仿宋_GB2312" w:cs="仿宋_GB2312"/>
                <w:spacing w:val="29"/>
                <w:sz w:val="28"/>
                <w:szCs w:val="28"/>
                <w:lang w:eastAsia="zh-CN"/>
              </w:rPr>
              <w:t>区</w:t>
            </w:r>
          </w:p>
        </w:tc>
        <w:tc>
          <w:tcPr>
            <w:tcW w:w="874" w:type="dxa"/>
            <w:vAlign w:val="center"/>
          </w:tcPr>
          <w:p>
            <w:pPr>
              <w:spacing w:before="91" w:line="281" w:lineRule="auto"/>
              <w:ind w:right="135"/>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宁河区</w:t>
            </w:r>
          </w:p>
        </w:tc>
        <w:tc>
          <w:tcPr>
            <w:tcW w:w="1366" w:type="dxa"/>
            <w:vAlign w:val="center"/>
          </w:tcPr>
          <w:p>
            <w:pPr>
              <w:spacing w:before="91" w:line="275" w:lineRule="auto"/>
              <w:ind w:right="109"/>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rPr>
              <w:t>优先保护</w:t>
            </w:r>
            <w:r>
              <w:rPr>
                <w:rFonts w:hint="eastAsia" w:ascii="仿宋_GB2312" w:hAnsi="仿宋_GB2312" w:eastAsia="仿宋_GB2312" w:cs="仿宋_GB2312"/>
                <w:spacing w:val="-6"/>
                <w:sz w:val="28"/>
                <w:szCs w:val="28"/>
              </w:rPr>
              <w:t>单元</w:t>
            </w:r>
          </w:p>
        </w:tc>
        <w:tc>
          <w:tcPr>
            <w:tcW w:w="720" w:type="dxa"/>
            <w:vAlign w:val="center"/>
          </w:tcPr>
          <w:p>
            <w:pPr>
              <w:spacing w:before="91" w:line="276" w:lineRule="auto"/>
              <w:ind w:right="215"/>
              <w:jc w:val="center"/>
              <w:rPr>
                <w:rFonts w:hint="eastAsia" w:ascii="仿宋_GB2312" w:hAnsi="仿宋_GB2312" w:eastAsia="仿宋_GB2312" w:cs="仿宋_GB2312"/>
                <w:spacing w:val="-9"/>
                <w:sz w:val="28"/>
                <w:szCs w:val="28"/>
              </w:rPr>
            </w:pPr>
            <w:r>
              <w:rPr>
                <w:rFonts w:hint="eastAsia" w:ascii="仿宋_GB2312" w:hAnsi="仿宋_GB2312" w:eastAsia="仿宋_GB2312" w:cs="仿宋_GB2312"/>
                <w:spacing w:val="-5"/>
                <w:sz w:val="28"/>
                <w:szCs w:val="28"/>
              </w:rPr>
              <w:t>一般生态</w:t>
            </w:r>
            <w:r>
              <w:rPr>
                <w:rFonts w:hint="eastAsia" w:ascii="仿宋_GB2312" w:hAnsi="仿宋_GB2312" w:eastAsia="仿宋_GB2312" w:cs="仿宋_GB2312"/>
                <w:spacing w:val="-9"/>
                <w:sz w:val="28"/>
                <w:szCs w:val="28"/>
              </w:rPr>
              <w:t>空</w:t>
            </w:r>
          </w:p>
          <w:p>
            <w:pPr>
              <w:spacing w:before="91" w:line="276" w:lineRule="auto"/>
              <w:ind w:right="215"/>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rPr>
              <w:t>间</w:t>
            </w:r>
          </w:p>
        </w:tc>
        <w:tc>
          <w:tcPr>
            <w:tcW w:w="8970" w:type="dxa"/>
          </w:tcPr>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1．执行市级总体管控要求和宁河区区级管控要求。</w:t>
            </w:r>
          </w:p>
          <w:p>
            <w:pPr>
              <w:spacing w:before="109" w:line="285" w:lineRule="auto"/>
              <w:ind w:right="2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双城中间绿色生态屏障区一级管控区：根据天津市人大常委会《天津市关于加强滨海新区与中心城区中间地带规划管控建设绿色生态屏障的决定》“一级管控区…应当统筹生态廊道、农田、林地、湿地、河道格局，维护、修复和提升生态功能，保障城市生态安全。一级管控区严格控制项目开发建设活动，除生态保护工程、重大基础设施工程、重大民生保障工程、营造人可接近的环境景观和绿道等附属设施外，禁止一切与生态环境保护无关的建设活动”。根据《天津市加强滨海新区与中心城区中间地带规划管控建设绿色生态屏障实施细则》（规管控字〔2018〕264号），“一级管控区内除下列确需建设的项目外，不得建设其他项目：河道整治等生态保护、修复和环境景观项目及其配套设施；符合规划要求的农业生产和农村生活服务设施，乡村旅游设施；交通和市政等重大基础设施；水利等重大民生保障设施；防汛等应急抢险救灾设施。</w:t>
            </w:r>
          </w:p>
          <w:p>
            <w:pPr>
              <w:spacing w:before="109" w:line="285" w:lineRule="auto"/>
              <w:ind w:right="2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pacing w:val="-4"/>
                <w:sz w:val="28"/>
                <w:szCs w:val="28"/>
                <w:lang w:eastAsia="zh-CN"/>
              </w:rPr>
              <w:t>结合七里海湿地形成生态循环系统，恢复“大水、大绿、成林、成片”的景观特色，构建双城中间绿色生态屏障宁河区段一廊两带两片区的空间结构。</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3266" w:type="dxa"/>
          </w:tcPr>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1．执行市级总体管控要求和宁河区区级管控要求。</w:t>
            </w:r>
          </w:p>
          <w:p>
            <w:pPr>
              <w:spacing w:before="91" w:line="289" w:lineRule="auto"/>
              <w:ind w:right="101"/>
              <w:rPr>
                <w:rFonts w:hint="eastAsia" w:ascii="仿宋_GB2312" w:hAnsi="仿宋_GB2312" w:eastAsia="仿宋_GB2312" w:cs="仿宋_GB2312"/>
                <w:spacing w:val="-4"/>
                <w:sz w:val="28"/>
                <w:szCs w:val="28"/>
                <w:lang w:eastAsia="zh-CN"/>
              </w:rPr>
            </w:pPr>
          </w:p>
        </w:tc>
        <w:tc>
          <w:tcPr>
            <w:tcW w:w="1132" w:type="dxa"/>
          </w:tcPr>
          <w:p>
            <w:pPr>
              <w:widowControl w:val="0"/>
              <w:spacing w:line="241" w:lineRule="auto"/>
              <w:jc w:val="center"/>
              <w:rPr>
                <w:rFonts w:hint="eastAsia" w:ascii="仿宋_GB2312" w:hAnsi="仿宋_GB2312" w:eastAsia="仿宋_GB2312" w:cs="仿宋_GB2312"/>
                <w:sz w:val="20"/>
                <w:lang w:eastAsia="zh-CN"/>
              </w:rPr>
            </w:pPr>
          </w:p>
          <w:p>
            <w:pPr>
              <w:spacing w:before="80" w:line="233"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85" w:type="dxa"/>
          </w:tcPr>
          <w:p>
            <w:pPr>
              <w:widowControl w:val="0"/>
              <w:spacing w:line="241" w:lineRule="auto"/>
              <w:jc w:val="center"/>
              <w:rPr>
                <w:rFonts w:hint="eastAsia" w:ascii="仿宋_GB2312" w:hAnsi="仿宋_GB2312" w:eastAsia="仿宋_GB2312" w:cs="仿宋_GB2312"/>
                <w:sz w:val="20"/>
              </w:rPr>
            </w:pPr>
          </w:p>
          <w:p>
            <w:pPr>
              <w:spacing w:before="80" w:line="233"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0" w:hRule="atLeast"/>
        </w:trPr>
        <w:tc>
          <w:tcPr>
            <w:tcW w:w="2124" w:type="dxa"/>
            <w:vAlign w:val="center"/>
          </w:tcPr>
          <w:p>
            <w:pPr>
              <w:widowControl w:val="0"/>
              <w:jc w:val="center"/>
              <w:rPr>
                <w:rFonts w:hint="eastAsia" w:ascii="仿宋_GB2312" w:hAnsi="仿宋_GB2312" w:eastAsia="仿宋_GB2312" w:cs="仿宋_GB2312"/>
                <w:sz w:val="20"/>
              </w:rPr>
            </w:pPr>
            <w:r>
              <w:rPr>
                <w:rFonts w:hint="eastAsia" w:ascii="仿宋_GB2312" w:hAnsi="仿宋_GB2312" w:eastAsia="仿宋_GB2312" w:cs="仿宋_GB2312"/>
                <w:spacing w:val="-2"/>
                <w:sz w:val="28"/>
                <w:szCs w:val="28"/>
              </w:rPr>
              <w:t>ZH12011710006</w:t>
            </w:r>
          </w:p>
        </w:tc>
        <w:tc>
          <w:tcPr>
            <w:tcW w:w="1390" w:type="dxa"/>
            <w:vAlign w:val="center"/>
          </w:tcPr>
          <w:p>
            <w:pPr>
              <w:widowControl w:val="0"/>
              <w:jc w:val="center"/>
              <w:rPr>
                <w:rFonts w:hint="eastAsia" w:ascii="仿宋_GB2312" w:hAnsi="仿宋_GB2312" w:eastAsia="仿宋_GB2312" w:cs="仿宋_GB2312"/>
                <w:sz w:val="20"/>
              </w:rPr>
            </w:pPr>
            <w:r>
              <w:rPr>
                <w:rFonts w:hint="eastAsia" w:ascii="仿宋_GB2312" w:hAnsi="仿宋_GB2312" w:eastAsia="仿宋_GB2312" w:cs="仿宋_GB2312"/>
                <w:spacing w:val="29"/>
                <w:sz w:val="28"/>
                <w:szCs w:val="28"/>
              </w:rPr>
              <w:t>龙凤河</w:t>
            </w:r>
          </w:p>
        </w:tc>
        <w:tc>
          <w:tcPr>
            <w:tcW w:w="874" w:type="dxa"/>
            <w:shd w:val="clear" w:color="auto" w:fill="auto"/>
            <w:vAlign w:val="center"/>
          </w:tcPr>
          <w:p>
            <w:pPr>
              <w:spacing w:before="91" w:line="281" w:lineRule="auto"/>
              <w:ind w:right="13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宁河</w:t>
            </w:r>
            <w:r>
              <w:rPr>
                <w:rFonts w:hint="eastAsia" w:ascii="仿宋_GB2312" w:hAnsi="仿宋_GB2312" w:eastAsia="仿宋_GB2312" w:cs="仿宋_GB2312"/>
                <w:sz w:val="28"/>
                <w:szCs w:val="28"/>
              </w:rPr>
              <w:t>区</w:t>
            </w:r>
          </w:p>
        </w:tc>
        <w:tc>
          <w:tcPr>
            <w:tcW w:w="1366" w:type="dxa"/>
            <w:shd w:val="clear" w:color="auto" w:fill="auto"/>
            <w:vAlign w:val="center"/>
          </w:tcPr>
          <w:p>
            <w:pPr>
              <w:spacing w:before="91" w:line="275" w:lineRule="auto"/>
              <w:ind w:right="10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先保护</w:t>
            </w:r>
            <w:r>
              <w:rPr>
                <w:rFonts w:hint="eastAsia" w:ascii="仿宋_GB2312" w:hAnsi="仿宋_GB2312" w:eastAsia="仿宋_GB2312" w:cs="仿宋_GB2312"/>
                <w:spacing w:val="-6"/>
                <w:sz w:val="28"/>
                <w:szCs w:val="28"/>
              </w:rPr>
              <w:t>单元</w:t>
            </w:r>
          </w:p>
        </w:tc>
        <w:tc>
          <w:tcPr>
            <w:tcW w:w="720" w:type="dxa"/>
            <w:shd w:val="clear" w:color="auto" w:fill="auto"/>
            <w:vAlign w:val="center"/>
          </w:tcPr>
          <w:p>
            <w:pPr>
              <w:spacing w:before="91" w:line="276" w:lineRule="auto"/>
              <w:ind w:right="215"/>
              <w:jc w:val="center"/>
              <w:rPr>
                <w:rFonts w:hint="eastAsia" w:ascii="仿宋_GB2312" w:hAnsi="仿宋_GB2312" w:eastAsia="仿宋_GB2312" w:cs="仿宋_GB2312"/>
                <w:spacing w:val="-9"/>
                <w:sz w:val="28"/>
                <w:szCs w:val="28"/>
              </w:rPr>
            </w:pPr>
            <w:r>
              <w:rPr>
                <w:rFonts w:hint="eastAsia" w:ascii="仿宋_GB2312" w:hAnsi="仿宋_GB2312" w:eastAsia="仿宋_GB2312" w:cs="仿宋_GB2312"/>
                <w:spacing w:val="-5"/>
                <w:sz w:val="28"/>
                <w:szCs w:val="28"/>
              </w:rPr>
              <w:t>一般生态</w:t>
            </w:r>
            <w:r>
              <w:rPr>
                <w:rFonts w:hint="eastAsia" w:ascii="仿宋_GB2312" w:hAnsi="仿宋_GB2312" w:eastAsia="仿宋_GB2312" w:cs="仿宋_GB2312"/>
                <w:spacing w:val="-9"/>
                <w:sz w:val="28"/>
                <w:szCs w:val="28"/>
              </w:rPr>
              <w:t>空</w:t>
            </w:r>
          </w:p>
          <w:p>
            <w:pPr>
              <w:spacing w:before="91" w:line="276" w:lineRule="auto"/>
              <w:ind w:right="21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间</w:t>
            </w:r>
          </w:p>
        </w:tc>
        <w:tc>
          <w:tcPr>
            <w:tcW w:w="8970" w:type="dxa"/>
          </w:tcPr>
          <w:p>
            <w:pPr>
              <w:spacing w:before="117" w:line="283" w:lineRule="auto"/>
              <w:ind w:right="10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1．执行市级总体管控要求和宁河区区级管控要求。</w:t>
            </w:r>
          </w:p>
          <w:p>
            <w:pPr>
              <w:spacing w:before="117" w:line="283" w:lineRule="auto"/>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2.严格执行《天津市水污染防治条例》、《天津市河道管理条例》、《天津蓄滞洪区管理条例》。</w:t>
            </w:r>
          </w:p>
          <w:p>
            <w:pPr>
              <w:spacing w:before="117" w:line="283" w:lineRule="auto"/>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pacing w:val="-4"/>
                <w:sz w:val="28"/>
                <w:szCs w:val="28"/>
                <w:lang w:eastAsia="zh-CN"/>
              </w:rPr>
              <w:t>依据《天津市河道管理条例》，在河道管理范围内禁止损毁堤防、护岸、闸坝、截渗沟等水工程建筑物和防汛设施，损毁测量设施、警示标志、安全监控等附属设施，禁止占用、封堵防汛抢险通道，禁止在堤防和护堤地内采砂、采石、取土、挖筑池塘，禁止设置阻水渔具或者其他障碍物，禁止倾倒、弃置矿渣、石渣、煤灰、泥土、垃圾等废弃物，禁止载重量三吨以上的非防汛抢险车辆在未铺设路面的堤顶通行，禁止非水库管理船只在水库大坝坝前五百米范围内滞留，禁止在水闸、橡胶坝引排水期间，船只和人员在其管理范围内滞留，禁止在河道内直接利用水体进行实验。在河道保护范围内，禁止打井、钻探、爆破、挖筑池塘、采石、取土等危害堤防安全的活动。禁止擅自填堵河道。涉河建设工程、河道整治、提升改造河道景观等建设项目，应当严格按照国家规定的标准设计和施工，不得降低堤防高度和防洪标准。</w:t>
            </w:r>
          </w:p>
          <w:p>
            <w:pPr>
              <w:spacing w:before="117" w:line="283" w:lineRule="auto"/>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pacing w:val="-4"/>
                <w:sz w:val="28"/>
                <w:szCs w:val="28"/>
                <w:lang w:eastAsia="zh-CN"/>
              </w:rPr>
              <w:t>依据《天津市蓄滞洪区管理条例》，新建、改建、扩建建设项目，应当符合防洪规划和有关技术标准、规范，经水行政主管部门审查同意后，方可按照基本建设程序履行报批手续。禁止损毁、拆除蓄滞洪区内的套堤、导流堤和用于救生的高地、旧堤。禁止损毁蓄滞洪区安全设施。</w:t>
            </w:r>
          </w:p>
          <w:p>
            <w:pPr>
              <w:spacing w:before="117" w:line="283" w:lineRule="auto"/>
              <w:ind w:right="102"/>
              <w:rPr>
                <w:rFonts w:hint="eastAsia" w:ascii="仿宋_GB2312" w:hAnsi="仿宋_GB2312" w:eastAsia="仿宋_GB2312" w:cs="仿宋_GB2312"/>
                <w:color w:val="00B050"/>
                <w:spacing w:val="-4"/>
                <w:sz w:val="28"/>
                <w:szCs w:val="28"/>
                <w:lang w:eastAsia="zh-CN"/>
              </w:rPr>
            </w:pPr>
            <w:r>
              <w:rPr>
                <w:rFonts w:hint="eastAsia" w:ascii="仿宋_GB2312" w:hAnsi="仿宋_GB2312" w:eastAsia="仿宋_GB2312" w:cs="仿宋_GB2312"/>
                <w:spacing w:val="-4"/>
                <w:sz w:val="28"/>
                <w:szCs w:val="28"/>
                <w:lang w:eastAsia="zh-CN"/>
              </w:rPr>
              <w:t>5.推进重点河流水系综合治理工程，包括城镇生活污水控制、河道堤防建设、河道河床与护坡修复、生物栖息地保护与恢复、农业面源污染控制等。</w:t>
            </w:r>
            <w:r>
              <w:rPr>
                <w:rFonts w:hint="eastAsia" w:ascii="仿宋_GB2312" w:hAnsi="仿宋_GB2312" w:eastAsia="仿宋_GB2312" w:cs="仿宋_GB2312"/>
                <w:color w:val="00B050"/>
                <w:spacing w:val="-4"/>
                <w:sz w:val="28"/>
                <w:szCs w:val="28"/>
                <w:lang w:eastAsia="zh-CN"/>
              </w:rPr>
              <w:t>依据《天津市宁河区国土空间总体规划(2021－2035年)》</w:t>
            </w:r>
          </w:p>
        </w:tc>
        <w:tc>
          <w:tcPr>
            <w:tcW w:w="3266" w:type="dxa"/>
          </w:tcPr>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1．执行市级总体管控要求和宁河区区级管控要求。</w:t>
            </w:r>
          </w:p>
          <w:p>
            <w:pPr>
              <w:widowControl w:val="0"/>
              <w:rPr>
                <w:rFonts w:hint="eastAsia" w:ascii="仿宋_GB2312" w:hAnsi="仿宋_GB2312" w:eastAsia="仿宋_GB2312" w:cs="仿宋_GB2312"/>
                <w:sz w:val="20"/>
                <w:lang w:eastAsia="zh-CN"/>
              </w:rPr>
            </w:pPr>
            <w:r>
              <w:rPr>
                <w:rFonts w:hint="eastAsia" w:ascii="仿宋_GB2312" w:hAnsi="仿宋_GB2312" w:eastAsia="仿宋_GB2312" w:cs="仿宋_GB2312"/>
                <w:spacing w:val="-4"/>
                <w:sz w:val="28"/>
                <w:szCs w:val="28"/>
                <w:lang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pacing w:val="-4"/>
                <w:sz w:val="28"/>
                <w:szCs w:val="28"/>
                <w:lang w:eastAsia="zh-CN"/>
              </w:rPr>
              <w:t>依据《天津市水污染防治条例》，禁止在水体清洗装贮过油类或者有毒污染物的车辆和容器，禁止直接或者间接向水体排放油类、酸液、碱液，禁止向水体排放、倾倒工业废渣、垃圾或者其他废弃物，禁止在河流最高水位线以下的滩地和岸坡堆放、存贮固体废弃物或者其他污染物，禁止利用无防渗漏措施的沟渠、坑塘等输送或者存贮工业废水、含有毒污染物的废水、含病原体的污水或者其他废弃物，直禁止接或者间接向水体排放剧毒废液或者含放射性物质的废水，禁止通过雨水管道、暗管违法排放水污染物；禁止通过渗井、渗坑、灌注等方式违法向地下排放水污染物。</w:t>
            </w:r>
          </w:p>
        </w:tc>
        <w:tc>
          <w:tcPr>
            <w:tcW w:w="1132" w:type="dxa"/>
          </w:tcPr>
          <w:p>
            <w:pPr>
              <w:widowControl w:val="0"/>
              <w:rPr>
                <w:rFonts w:hint="eastAsia" w:ascii="仿宋_GB2312" w:hAnsi="仿宋_GB2312" w:eastAsia="仿宋_GB2312" w:cs="仿宋_GB2312"/>
                <w:sz w:val="20"/>
                <w:lang w:eastAsia="zh-CN"/>
              </w:rPr>
            </w:pPr>
          </w:p>
        </w:tc>
        <w:tc>
          <w:tcPr>
            <w:tcW w:w="1085" w:type="dxa"/>
          </w:tcPr>
          <w:p>
            <w:pPr>
              <w:widowControl w:val="0"/>
              <w:rPr>
                <w:rFonts w:hint="eastAsia" w:ascii="仿宋_GB2312" w:hAnsi="仿宋_GB2312" w:eastAsia="仿宋_GB2312" w:cs="仿宋_GB2312"/>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8" w:hRule="atLeast"/>
        </w:trPr>
        <w:tc>
          <w:tcPr>
            <w:tcW w:w="2124" w:type="dxa"/>
            <w:vAlign w:val="center"/>
          </w:tcPr>
          <w:p>
            <w:pPr>
              <w:widowControl w:val="0"/>
              <w:jc w:val="both"/>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ZH12011710007</w:t>
            </w:r>
          </w:p>
        </w:tc>
        <w:tc>
          <w:tcPr>
            <w:tcW w:w="1390" w:type="dxa"/>
            <w:vAlign w:val="center"/>
          </w:tcPr>
          <w:p>
            <w:pPr>
              <w:widowControl w:val="0"/>
              <w:jc w:val="center"/>
              <w:rPr>
                <w:rFonts w:hint="eastAsia" w:ascii="仿宋_GB2312" w:hAnsi="仿宋_GB2312" w:eastAsia="仿宋_GB2312" w:cs="仿宋_GB2312"/>
                <w:sz w:val="20"/>
              </w:rPr>
            </w:pPr>
            <w:r>
              <w:rPr>
                <w:rFonts w:hint="eastAsia" w:ascii="仿宋_GB2312" w:hAnsi="仿宋_GB2312" w:eastAsia="仿宋_GB2312" w:cs="仿宋_GB2312"/>
                <w:spacing w:val="9"/>
                <w:sz w:val="28"/>
                <w:szCs w:val="28"/>
              </w:rPr>
              <w:t>新开河-金</w:t>
            </w:r>
            <w:r>
              <w:rPr>
                <w:rFonts w:hint="eastAsia" w:ascii="仿宋_GB2312" w:hAnsi="仿宋_GB2312" w:eastAsia="仿宋_GB2312" w:cs="仿宋_GB2312"/>
                <w:spacing w:val="-1"/>
                <w:sz w:val="28"/>
                <w:szCs w:val="28"/>
              </w:rPr>
              <w:t>钟河</w:t>
            </w:r>
          </w:p>
        </w:tc>
        <w:tc>
          <w:tcPr>
            <w:tcW w:w="874" w:type="dxa"/>
            <w:shd w:val="clear" w:color="auto" w:fill="auto"/>
            <w:vAlign w:val="center"/>
          </w:tcPr>
          <w:p>
            <w:pPr>
              <w:spacing w:before="91" w:line="281" w:lineRule="auto"/>
              <w:ind w:right="13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宁河</w:t>
            </w:r>
            <w:r>
              <w:rPr>
                <w:rFonts w:hint="eastAsia" w:ascii="仿宋_GB2312" w:hAnsi="仿宋_GB2312" w:eastAsia="仿宋_GB2312" w:cs="仿宋_GB2312"/>
                <w:sz w:val="28"/>
                <w:szCs w:val="28"/>
              </w:rPr>
              <w:t>区</w:t>
            </w:r>
          </w:p>
        </w:tc>
        <w:tc>
          <w:tcPr>
            <w:tcW w:w="1366" w:type="dxa"/>
            <w:shd w:val="clear" w:color="auto" w:fill="auto"/>
            <w:vAlign w:val="center"/>
          </w:tcPr>
          <w:p>
            <w:pPr>
              <w:spacing w:before="91" w:line="275" w:lineRule="auto"/>
              <w:ind w:right="10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优先保护</w:t>
            </w:r>
            <w:r>
              <w:rPr>
                <w:rFonts w:hint="eastAsia" w:ascii="仿宋_GB2312" w:hAnsi="仿宋_GB2312" w:eastAsia="仿宋_GB2312" w:cs="仿宋_GB2312"/>
                <w:spacing w:val="-6"/>
                <w:sz w:val="28"/>
                <w:szCs w:val="28"/>
              </w:rPr>
              <w:t>单元</w:t>
            </w:r>
          </w:p>
        </w:tc>
        <w:tc>
          <w:tcPr>
            <w:tcW w:w="720" w:type="dxa"/>
            <w:shd w:val="clear" w:color="auto" w:fill="auto"/>
            <w:vAlign w:val="center"/>
          </w:tcPr>
          <w:p>
            <w:pPr>
              <w:spacing w:before="91" w:line="276" w:lineRule="auto"/>
              <w:ind w:right="215"/>
              <w:jc w:val="center"/>
              <w:rPr>
                <w:rFonts w:hint="eastAsia" w:ascii="仿宋_GB2312" w:hAnsi="仿宋_GB2312" w:eastAsia="仿宋_GB2312" w:cs="仿宋_GB2312"/>
                <w:spacing w:val="-9"/>
                <w:sz w:val="28"/>
                <w:szCs w:val="28"/>
              </w:rPr>
            </w:pPr>
            <w:r>
              <w:rPr>
                <w:rFonts w:hint="eastAsia" w:ascii="仿宋_GB2312" w:hAnsi="仿宋_GB2312" w:eastAsia="仿宋_GB2312" w:cs="仿宋_GB2312"/>
                <w:spacing w:val="-5"/>
                <w:sz w:val="28"/>
                <w:szCs w:val="28"/>
              </w:rPr>
              <w:t>一般生态</w:t>
            </w:r>
            <w:r>
              <w:rPr>
                <w:rFonts w:hint="eastAsia" w:ascii="仿宋_GB2312" w:hAnsi="仿宋_GB2312" w:eastAsia="仿宋_GB2312" w:cs="仿宋_GB2312"/>
                <w:spacing w:val="-9"/>
                <w:sz w:val="28"/>
                <w:szCs w:val="28"/>
              </w:rPr>
              <w:t>空</w:t>
            </w:r>
          </w:p>
          <w:p>
            <w:pPr>
              <w:spacing w:before="91" w:line="276" w:lineRule="auto"/>
              <w:ind w:right="21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间</w:t>
            </w:r>
          </w:p>
        </w:tc>
        <w:tc>
          <w:tcPr>
            <w:tcW w:w="8970" w:type="dxa"/>
          </w:tcPr>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1．执行市级总体管控要求和宁河区区级管控要求。</w:t>
            </w:r>
          </w:p>
          <w:p>
            <w:pPr>
              <w:spacing w:before="117" w:line="283" w:lineRule="auto"/>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2.严格执行《天津市水污染防治条例》、《天津市河道管理条例》、《天津蓄滞洪区管理条例》。</w:t>
            </w:r>
          </w:p>
          <w:p>
            <w:pPr>
              <w:spacing w:before="117" w:line="283" w:lineRule="auto"/>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依据《天津市河道管理条例》，在河道管理范围内禁止损毁堤防、护岸、闸坝、截渗沟等水工程建筑物和防汛设施，损毁测量设施、警示标志、安全监控等附属设施，禁止占用、封堵防汛抢险通道，禁止在堤防和护堤地内采砂、采石、取土、挖筑池塘，禁止设置阻水渔具或者其他障碍物，禁止倾倒、弃置矿渣、石渣、煤灰、泥土、垃圾等废弃物，禁止载重量三吨以上的非防汛抢险车辆在未铺设路面的堤顶通行，禁止非水库管理船只在水库大坝坝前五百米范围内滞留，禁止在水闸、橡胶坝引排水期间，船只和人员在其管理范围内滞留，禁止在河道内直接利用水体进行实验。在河道保护范围内，禁止打井、钻探、爆破、挖筑池塘、采石、取土等危害堤防安全的活动。禁止擅自填堵河道。涉河建设工程、河道整治、提升改造河道景观等建设项目，应当严格按照国家规定的标准设计和施工，不得降低堤防高度和防洪标准。</w:t>
            </w:r>
          </w:p>
          <w:p>
            <w:pPr>
              <w:spacing w:before="117" w:line="283" w:lineRule="auto"/>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依据《天津市蓄滞洪区管理条例》，新建、改建、扩建建设项目，应当符合防洪规划和有关技术标准、规范，经水行政主管部门审查同意后，方可按照基本建设程序履行报批手续。禁止损毁、拆除蓄滞洪区内的套堤、导流堤和用于救生的高地、旧堤。禁止损毁蓄滞洪区安全设施。</w:t>
            </w:r>
          </w:p>
          <w:p>
            <w:pPr>
              <w:spacing w:before="117" w:line="283" w:lineRule="auto"/>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5.推进重点河流水系综合治理工程，包括城镇生活污水控制、河道堤防建设、河道河床与护坡修复、生物栖息地保护与恢复、农业面源污染控制等。</w:t>
            </w:r>
            <w:r>
              <w:rPr>
                <w:rFonts w:hint="eastAsia" w:ascii="仿宋_GB2312" w:hAnsi="仿宋_GB2312" w:eastAsia="仿宋_GB2312" w:cs="仿宋_GB2312"/>
                <w:color w:val="00B050"/>
                <w:spacing w:val="-4"/>
                <w:sz w:val="28"/>
                <w:szCs w:val="28"/>
                <w:lang w:eastAsia="zh-CN"/>
              </w:rPr>
              <w:t>依据《天津市宁河区国土空间总体规划(2021－2035年)》</w:t>
            </w:r>
          </w:p>
        </w:tc>
        <w:tc>
          <w:tcPr>
            <w:tcW w:w="3266" w:type="dxa"/>
          </w:tcPr>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1．执行市级总体管控要求和宁河区区级管控要求。</w:t>
            </w:r>
          </w:p>
          <w:p>
            <w:pPr>
              <w:widowControl w:val="0"/>
              <w:rPr>
                <w:rFonts w:hint="eastAsia" w:ascii="仿宋_GB2312" w:hAnsi="仿宋_GB2312" w:eastAsia="仿宋_GB2312" w:cs="仿宋_GB2312"/>
                <w:sz w:val="20"/>
                <w:lang w:eastAsia="zh-CN"/>
              </w:rPr>
            </w:pPr>
            <w:r>
              <w:rPr>
                <w:rFonts w:hint="eastAsia" w:ascii="仿宋_GB2312" w:hAnsi="仿宋_GB2312" w:eastAsia="仿宋_GB2312" w:cs="仿宋_GB2312"/>
                <w:spacing w:val="-4"/>
                <w:sz w:val="28"/>
                <w:szCs w:val="28"/>
                <w:lang w:eastAsia="zh-CN"/>
              </w:rPr>
              <w:t>2.依据《天津市水污染防治条例》，禁止在水体清洗装贮过油类或者有毒污染物的车辆和容器，禁止直接或者间接向水体排放油类、酸液、碱液，禁止向水体排放、倾倒工业废渣、垃圾或者其他废弃物，禁止在河流最高水位线以下的滩地和岸坡堆放、存贮固体废弃物或者其他污染物，禁止利用无防渗漏措施的沟渠、坑塘等输送或者存贮工业废水、含有毒污染物的废水、含病原体的污水或者其他废弃物，直禁止接或者间接向水体排放剧毒废液或者含放射性物质的废水，禁止通过雨水管道、暗管违法排放水污染物；禁止通过渗井、渗坑、灌注等方式违法向地下排放水污染物。</w:t>
            </w:r>
          </w:p>
        </w:tc>
        <w:tc>
          <w:tcPr>
            <w:tcW w:w="1132" w:type="dxa"/>
          </w:tcPr>
          <w:p>
            <w:pPr>
              <w:widowControl w:val="0"/>
              <w:rPr>
                <w:rFonts w:hint="eastAsia" w:ascii="仿宋_GB2312" w:hAnsi="仿宋_GB2312" w:eastAsia="仿宋_GB2312" w:cs="仿宋_GB2312"/>
                <w:sz w:val="20"/>
                <w:lang w:eastAsia="zh-CN"/>
              </w:rPr>
            </w:pPr>
          </w:p>
        </w:tc>
        <w:tc>
          <w:tcPr>
            <w:tcW w:w="1085" w:type="dxa"/>
          </w:tcPr>
          <w:p>
            <w:pPr>
              <w:widowControl w:val="0"/>
              <w:rPr>
                <w:rFonts w:hint="eastAsia" w:ascii="仿宋_GB2312" w:hAnsi="仿宋_GB2312" w:eastAsia="仿宋_GB2312" w:cs="仿宋_GB2312"/>
                <w:sz w:val="20"/>
                <w:lang w:eastAsia="zh-CN"/>
              </w:rPr>
            </w:pPr>
          </w:p>
        </w:tc>
      </w:tr>
    </w:tbl>
    <w:p>
      <w:pPr>
        <w:rPr>
          <w:rFonts w:hint="eastAsia" w:ascii="仿宋_GB2312" w:hAnsi="仿宋_GB2312" w:eastAsia="仿宋_GB2312" w:cs="仿宋_GB2312"/>
          <w:lang w:eastAsia="zh-CN"/>
        </w:rPr>
      </w:pPr>
    </w:p>
    <w:p>
      <w:pPr>
        <w:rPr>
          <w:lang w:eastAsia="zh-CN"/>
        </w:rPr>
        <w:sectPr>
          <w:footerReference r:id="rId4" w:type="default"/>
          <w:pgSz w:w="23811" w:h="16839"/>
          <w:pgMar w:top="1431" w:right="1438" w:bottom="1707" w:left="1440" w:header="0" w:footer="1456" w:gutter="0"/>
          <w:pgNumType w:fmt="decimal" w:start="1"/>
          <w:cols w:space="720" w:num="1"/>
        </w:sectPr>
      </w:pPr>
    </w:p>
    <w:p>
      <w:pPr>
        <w:spacing w:before="120" w:line="219" w:lineRule="auto"/>
        <w:ind w:left="32"/>
        <w:outlineLvl w:val="0"/>
        <w:rPr>
          <w:rFonts w:ascii="Times New Roman" w:hAnsi="Times New Roman" w:eastAsia="黑体" w:cs="Times New Roman"/>
          <w:bCs/>
          <w:snapToGrid/>
          <w:color w:val="auto"/>
          <w:kern w:val="2"/>
          <w:sz w:val="36"/>
          <w:szCs w:val="36"/>
          <w:lang w:eastAsia="zh-CN"/>
        </w:rPr>
      </w:pPr>
      <w:bookmarkStart w:id="43" w:name="_Toc1281856911"/>
      <w:bookmarkStart w:id="44" w:name="_Toc1905323776"/>
      <w:bookmarkStart w:id="45" w:name="_Toc1530583019"/>
      <w:bookmarkStart w:id="46" w:name="_Toc298371921"/>
      <w:bookmarkStart w:id="47" w:name="_Toc867695133"/>
      <w:bookmarkStart w:id="48" w:name="_Toc1047728746"/>
      <w:bookmarkStart w:id="49" w:name="_Toc118292202"/>
      <w:bookmarkStart w:id="50" w:name="_Toc27851"/>
      <w:r>
        <w:rPr>
          <w:rFonts w:ascii="Times New Roman" w:hAnsi="Times New Roman" w:eastAsia="黑体" w:cs="Times New Roman"/>
          <w:bCs/>
          <w:snapToGrid/>
          <w:color w:val="auto"/>
          <w:kern w:val="2"/>
          <w:sz w:val="36"/>
          <w:szCs w:val="36"/>
          <w:lang w:eastAsia="zh-CN"/>
        </w:rPr>
        <w:t>2</w:t>
      </w:r>
      <w:r>
        <w:rPr>
          <w:rFonts w:hint="eastAsia" w:ascii="Times New Roman" w:hAnsi="Times New Roman" w:eastAsia="黑体" w:cs="Times New Roman"/>
          <w:bCs/>
          <w:snapToGrid/>
          <w:color w:val="auto"/>
          <w:kern w:val="2"/>
          <w:sz w:val="36"/>
          <w:szCs w:val="36"/>
          <w:lang w:eastAsia="zh-CN"/>
        </w:rPr>
        <w:t>.宁河区重点管控单元管控要求</w:t>
      </w:r>
      <w:bookmarkEnd w:id="43"/>
      <w:bookmarkEnd w:id="44"/>
      <w:bookmarkEnd w:id="45"/>
      <w:bookmarkEnd w:id="46"/>
      <w:bookmarkEnd w:id="47"/>
      <w:bookmarkEnd w:id="48"/>
      <w:bookmarkEnd w:id="49"/>
    </w:p>
    <w:bookmarkEnd w:id="50"/>
    <w:p>
      <w:pPr>
        <w:spacing w:before="120" w:line="219" w:lineRule="auto"/>
        <w:ind w:left="32"/>
        <w:outlineLvl w:val="0"/>
        <w:rPr>
          <w:rFonts w:ascii="Times New Roman" w:hAnsi="Times New Roman" w:eastAsia="黑体" w:cs="Times New Roman"/>
          <w:bCs/>
          <w:snapToGrid/>
          <w:color w:val="auto"/>
          <w:kern w:val="2"/>
          <w:sz w:val="28"/>
          <w:szCs w:val="32"/>
          <w:lang w:eastAsia="zh-CN"/>
        </w:rPr>
      </w:pPr>
      <w:bookmarkStart w:id="51" w:name="_Toc938728342"/>
      <w:bookmarkStart w:id="52" w:name="_Toc1777662505"/>
      <w:bookmarkStart w:id="53" w:name="_Toc1608015143"/>
      <w:bookmarkStart w:id="54" w:name="_Toc1229850253"/>
      <w:bookmarkStart w:id="55" w:name="_Toc1401629122"/>
      <w:bookmarkStart w:id="56" w:name="_Toc1074006304"/>
      <w:bookmarkStart w:id="57" w:name="_Toc1120091623"/>
      <w:r>
        <w:rPr>
          <w:rFonts w:hint="eastAsia" w:ascii="Times New Roman" w:hAnsi="Times New Roman" w:eastAsia="黑体" w:cs="Times New Roman"/>
          <w:bCs/>
          <w:snapToGrid/>
          <w:color w:val="auto"/>
          <w:kern w:val="2"/>
          <w:sz w:val="28"/>
          <w:szCs w:val="32"/>
          <w:lang w:eastAsia="zh-CN"/>
        </w:rPr>
        <w:t>2.1</w:t>
      </w:r>
      <w:r>
        <w:rPr>
          <w:rFonts w:ascii="Times New Roman" w:hAnsi="Times New Roman" w:eastAsia="黑体" w:cs="Times New Roman"/>
          <w:bCs/>
          <w:snapToGrid/>
          <w:color w:val="auto"/>
          <w:kern w:val="2"/>
          <w:sz w:val="28"/>
          <w:szCs w:val="32"/>
          <w:lang w:eastAsia="zh-CN"/>
        </w:rPr>
        <w:t>宁河区宁河经济开发区单元</w:t>
      </w:r>
      <w:r>
        <w:rPr>
          <w:rFonts w:hint="eastAsia" w:ascii="Times New Roman" w:hAnsi="Times New Roman" w:eastAsia="黑体" w:cs="Times New Roman"/>
          <w:bCs/>
          <w:snapToGrid/>
          <w:color w:val="auto"/>
          <w:kern w:val="2"/>
          <w:sz w:val="28"/>
          <w:szCs w:val="32"/>
          <w:lang w:eastAsia="zh-CN"/>
        </w:rPr>
        <w:t>管控要求</w:t>
      </w:r>
      <w:bookmarkEnd w:id="51"/>
      <w:bookmarkEnd w:id="52"/>
      <w:bookmarkEnd w:id="53"/>
      <w:bookmarkEnd w:id="54"/>
      <w:bookmarkEnd w:id="55"/>
      <w:bookmarkEnd w:id="56"/>
      <w:bookmarkEnd w:id="57"/>
    </w:p>
    <w:p>
      <w:pPr>
        <w:spacing w:line="221" w:lineRule="exact"/>
        <w:rPr>
          <w:lang w:eastAsia="zh-CN"/>
        </w:rPr>
      </w:pPr>
    </w:p>
    <w:tbl>
      <w:tblPr>
        <w:tblStyle w:val="16"/>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1171"/>
        <w:gridCol w:w="1379"/>
        <w:gridCol w:w="847"/>
        <w:gridCol w:w="854"/>
        <w:gridCol w:w="4207"/>
        <w:gridCol w:w="5217"/>
        <w:gridCol w:w="2976"/>
        <w:gridCol w:w="2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1488" w:type="dxa"/>
            <w:vAlign w:val="center"/>
          </w:tcPr>
          <w:p>
            <w:pPr>
              <w:spacing w:before="91" w:line="276" w:lineRule="auto"/>
              <w:ind w:left="203" w:right="180" w:hanging="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w:t>
            </w:r>
            <w:r>
              <w:rPr>
                <w:rFonts w:hint="eastAsia" w:ascii="仿宋_GB2312" w:hAnsi="仿宋_GB2312" w:eastAsia="仿宋_GB2312" w:cs="仿宋_GB2312"/>
                <w:spacing w:val="-6"/>
                <w:sz w:val="28"/>
                <w:szCs w:val="28"/>
              </w:rPr>
              <w:t>单元编码</w:t>
            </w:r>
          </w:p>
        </w:tc>
        <w:tc>
          <w:tcPr>
            <w:tcW w:w="1171" w:type="dxa"/>
            <w:vAlign w:val="center"/>
          </w:tcPr>
          <w:p>
            <w:pPr>
              <w:spacing w:before="91" w:line="276" w:lineRule="auto"/>
              <w:ind w:left="445" w:right="147" w:hanging="28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环境管控单</w:t>
            </w:r>
            <w:r>
              <w:rPr>
                <w:rFonts w:hint="eastAsia" w:ascii="仿宋_GB2312" w:hAnsi="仿宋_GB2312" w:eastAsia="仿宋_GB2312" w:cs="仿宋_GB2312"/>
                <w:spacing w:val="-5"/>
                <w:sz w:val="28"/>
                <w:szCs w:val="28"/>
              </w:rPr>
              <w:t>元名称</w:t>
            </w:r>
          </w:p>
        </w:tc>
        <w:tc>
          <w:tcPr>
            <w:tcW w:w="1379" w:type="dxa"/>
            <w:vAlign w:val="center"/>
          </w:tcPr>
          <w:p>
            <w:pPr>
              <w:spacing w:before="91" w:line="278" w:lineRule="auto"/>
              <w:ind w:left="184" w:right="144" w:hanging="21"/>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行政</w:t>
            </w:r>
            <w:r>
              <w:rPr>
                <w:rFonts w:hint="eastAsia" w:ascii="仿宋_GB2312" w:hAnsi="仿宋_GB2312" w:eastAsia="仿宋_GB2312" w:cs="仿宋_GB2312"/>
                <w:spacing w:val="-21"/>
                <w:sz w:val="28"/>
                <w:szCs w:val="28"/>
              </w:rPr>
              <w:t>区划</w:t>
            </w:r>
          </w:p>
        </w:tc>
        <w:tc>
          <w:tcPr>
            <w:tcW w:w="847" w:type="dxa"/>
            <w:vAlign w:val="center"/>
          </w:tcPr>
          <w:p>
            <w:pPr>
              <w:spacing w:before="117" w:line="264" w:lineRule="auto"/>
              <w:ind w:left="160" w:right="142" w:firstLine="12"/>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管控</w:t>
            </w:r>
            <w:r>
              <w:rPr>
                <w:rFonts w:hint="eastAsia" w:ascii="仿宋_GB2312" w:hAnsi="仿宋_GB2312" w:eastAsia="仿宋_GB2312" w:cs="仿宋_GB2312"/>
                <w:spacing w:val="-11"/>
                <w:sz w:val="28"/>
                <w:szCs w:val="28"/>
              </w:rPr>
              <w:t>单元分类</w:t>
            </w:r>
          </w:p>
        </w:tc>
        <w:tc>
          <w:tcPr>
            <w:tcW w:w="854" w:type="dxa"/>
            <w:vAlign w:val="center"/>
          </w:tcPr>
          <w:p>
            <w:pPr>
              <w:spacing w:before="91" w:line="221"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备注</w:t>
            </w:r>
          </w:p>
        </w:tc>
        <w:tc>
          <w:tcPr>
            <w:tcW w:w="4207" w:type="dxa"/>
            <w:vAlign w:val="center"/>
          </w:tcPr>
          <w:p>
            <w:pPr>
              <w:spacing w:before="91" w:line="216"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空间布局约束</w:t>
            </w:r>
          </w:p>
        </w:tc>
        <w:tc>
          <w:tcPr>
            <w:tcW w:w="5217" w:type="dxa"/>
            <w:vAlign w:val="center"/>
          </w:tcPr>
          <w:p>
            <w:pPr>
              <w:spacing w:before="91" w:line="217"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污染物排放管控</w:t>
            </w:r>
          </w:p>
        </w:tc>
        <w:tc>
          <w:tcPr>
            <w:tcW w:w="2976" w:type="dxa"/>
            <w:vAlign w:val="center"/>
          </w:tcPr>
          <w:p>
            <w:pPr>
              <w:spacing w:before="91"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环境风险防控</w:t>
            </w:r>
          </w:p>
        </w:tc>
        <w:tc>
          <w:tcPr>
            <w:tcW w:w="2788" w:type="dxa"/>
            <w:vAlign w:val="center"/>
          </w:tcPr>
          <w:p>
            <w:pPr>
              <w:spacing w:before="91"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资源开发效率要求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88" w:type="dxa"/>
            <w:vAlign w:val="center"/>
          </w:tcPr>
          <w:p>
            <w:pPr>
              <w:spacing w:before="80" w:line="324" w:lineRule="auto"/>
              <w:ind w:left="396" w:right="140" w:hanging="25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rPr>
              <w:t>ZH120117</w:t>
            </w:r>
            <w:r>
              <w:rPr>
                <w:rFonts w:hint="eastAsia" w:ascii="仿宋_GB2312" w:hAnsi="仿宋_GB2312" w:eastAsia="仿宋_GB2312" w:cs="仿宋_GB2312"/>
                <w:spacing w:val="-1"/>
                <w:sz w:val="28"/>
                <w:szCs w:val="28"/>
              </w:rPr>
              <w:t>20001</w:t>
            </w:r>
          </w:p>
        </w:tc>
        <w:tc>
          <w:tcPr>
            <w:tcW w:w="1171" w:type="dxa"/>
            <w:vAlign w:val="center"/>
          </w:tcPr>
          <w:p>
            <w:pPr>
              <w:spacing w:before="91" w:line="281" w:lineRule="auto"/>
              <w:ind w:left="121" w:right="106" w:firstLine="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0"/>
                <w:sz w:val="28"/>
                <w:szCs w:val="28"/>
                <w:lang w:eastAsia="zh-CN"/>
              </w:rPr>
              <w:t>市级—宁河</w:t>
            </w:r>
            <w:r>
              <w:rPr>
                <w:rFonts w:hint="eastAsia" w:ascii="仿宋_GB2312" w:hAnsi="仿宋_GB2312" w:eastAsia="仿宋_GB2312" w:cs="仿宋_GB2312"/>
                <w:spacing w:val="12"/>
                <w:sz w:val="28"/>
                <w:szCs w:val="28"/>
                <w:lang w:eastAsia="zh-CN"/>
              </w:rPr>
              <w:t>区宁河经济</w:t>
            </w:r>
            <w:r>
              <w:rPr>
                <w:rFonts w:hint="eastAsia" w:ascii="仿宋_GB2312" w:hAnsi="仿宋_GB2312" w:eastAsia="仿宋_GB2312" w:cs="仿宋_GB2312"/>
                <w:spacing w:val="-4"/>
                <w:sz w:val="28"/>
                <w:szCs w:val="28"/>
                <w:lang w:eastAsia="zh-CN"/>
              </w:rPr>
              <w:t>开发区</w:t>
            </w:r>
          </w:p>
        </w:tc>
        <w:tc>
          <w:tcPr>
            <w:tcW w:w="1379" w:type="dxa"/>
            <w:vAlign w:val="center"/>
          </w:tcPr>
          <w:p>
            <w:pPr>
              <w:spacing w:before="91" w:line="281" w:lineRule="auto"/>
              <w:ind w:left="324" w:right="144" w:hanging="1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宁河区</w:t>
            </w:r>
          </w:p>
        </w:tc>
        <w:tc>
          <w:tcPr>
            <w:tcW w:w="847" w:type="dxa"/>
            <w:vAlign w:val="center"/>
          </w:tcPr>
          <w:p>
            <w:pPr>
              <w:spacing w:before="91" w:line="281" w:lineRule="auto"/>
              <w:ind w:left="162" w:right="142" w:firstLine="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重点管控单元</w:t>
            </w:r>
          </w:p>
        </w:tc>
        <w:tc>
          <w:tcPr>
            <w:tcW w:w="854" w:type="dxa"/>
            <w:vAlign w:val="center"/>
          </w:tcPr>
          <w:p>
            <w:pPr>
              <w:spacing w:before="91" w:line="276" w:lineRule="auto"/>
              <w:ind w:left="188" w:right="144" w:hanging="25"/>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产业园区</w:t>
            </w:r>
          </w:p>
        </w:tc>
        <w:tc>
          <w:tcPr>
            <w:tcW w:w="4207" w:type="dxa"/>
          </w:tcPr>
          <w:p>
            <w:pPr>
              <w:spacing w:before="0" w:beforeLines="0" w:line="440" w:lineRule="exact"/>
              <w:ind w:right="107"/>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0" w:beforeLines="0" w:line="440" w:lineRule="exact"/>
              <w:ind w:right="107"/>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2.加强区内绿化建设，合理配置树种，区内建设应注重景观的协调性，按照循环经济和工业生态学</w:t>
            </w:r>
            <w:bookmarkStart w:id="58" w:name="bookmark4"/>
            <w:bookmarkEnd w:id="58"/>
            <w:r>
              <w:rPr>
                <w:rFonts w:hint="eastAsia" w:ascii="仿宋_GB2312" w:hAnsi="仿宋_GB2312" w:eastAsia="仿宋_GB2312" w:cs="仿宋_GB2312"/>
                <w:spacing w:val="-4"/>
                <w:sz w:val="28"/>
                <w:szCs w:val="28"/>
                <w:lang w:eastAsia="zh-CN"/>
              </w:rPr>
              <w:t>的理念建设。</w:t>
            </w:r>
          </w:p>
          <w:p>
            <w:pPr>
              <w:spacing w:before="0" w:beforeLines="0" w:afterLines="50" w:line="440" w:lineRule="exact"/>
              <w:ind w:right="107"/>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3.实施污染物总量控制，大气环境质量稳定达标，实行严格的环境准入制，防止高污染、高消耗企业的进去。</w:t>
            </w:r>
          </w:p>
          <w:p>
            <w:pPr>
              <w:spacing w:before="0" w:beforeLines="0" w:afterLines="50" w:line="440" w:lineRule="exact"/>
              <w:ind w:right="103"/>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4.对于规划区内现有不符合产业定位企业进行产业调整或搬迁。临近环境敏感目标处（居住区、学校等）地块招商时，选择污染轻、无污染的企业，并预留足够的卫生防护距离。</w:t>
            </w:r>
          </w:p>
          <w:p>
            <w:pPr>
              <w:spacing w:beforeLines="0" w:line="440" w:lineRule="exact"/>
              <w:rPr>
                <w:rFonts w:hint="eastAsia" w:ascii="仿宋_GB2312" w:hAnsi="仿宋_GB2312" w:eastAsia="仿宋_GB2312" w:cs="仿宋_GB2312"/>
                <w:color w:val="00B050"/>
                <w:sz w:val="28"/>
                <w:szCs w:val="28"/>
                <w:lang w:eastAsia="zh-CN"/>
              </w:rPr>
            </w:pPr>
            <w:r>
              <w:rPr>
                <w:rFonts w:hint="eastAsia" w:ascii="仿宋_GB2312" w:hAnsi="仿宋_GB2312" w:eastAsia="仿宋_GB2312" w:cs="仿宋_GB2312"/>
                <w:spacing w:val="-4"/>
                <w:sz w:val="28"/>
                <w:szCs w:val="28"/>
                <w:lang w:eastAsia="zh-CN"/>
              </w:rPr>
              <w:t>5.严禁向禁止类工业项目供地，限制发展类产业禁止投资新建项目和简单扩大再生产，可实施技术改造和智能化升级；对不符合产业政策、环境保护、安全生产等要求的企业，予以清退淘汰。对规划工业用地用途已调整但五年内暂不实施的区域，可实施工业技术改造和智能化升级项目。</w:t>
            </w:r>
            <w:r>
              <w:rPr>
                <w:rFonts w:hint="eastAsia" w:ascii="仿宋_GB2312" w:hAnsi="仿宋_GB2312" w:eastAsia="仿宋_GB2312" w:cs="仿宋_GB2312"/>
                <w:color w:val="00B050"/>
                <w:sz w:val="28"/>
                <w:szCs w:val="28"/>
                <w:lang w:eastAsia="zh-CN"/>
              </w:rPr>
              <w:t>依据《天津市工业布局规划（2022-2035年）》</w:t>
            </w:r>
          </w:p>
          <w:p>
            <w:pPr>
              <w:spacing w:before="0" w:beforeLines="0" w:line="440" w:lineRule="exact"/>
              <w:ind w:right="103"/>
              <w:rPr>
                <w:rFonts w:hint="eastAsia" w:ascii="仿宋_GB2312" w:hAnsi="仿宋_GB2312" w:eastAsia="仿宋_GB2312" w:cs="仿宋_GB2312"/>
                <w:spacing w:val="-4"/>
                <w:sz w:val="28"/>
                <w:szCs w:val="28"/>
                <w:lang w:eastAsia="zh-CN"/>
              </w:rPr>
            </w:pPr>
          </w:p>
          <w:p>
            <w:pPr>
              <w:spacing w:beforeLines="0" w:line="440" w:lineRule="exact"/>
              <w:rPr>
                <w:rFonts w:hint="eastAsia" w:ascii="仿宋_GB2312" w:hAnsi="仿宋_GB2312" w:eastAsia="仿宋_GB2312" w:cs="仿宋_GB2312"/>
                <w:spacing w:val="3"/>
                <w:sz w:val="28"/>
                <w:szCs w:val="28"/>
                <w:lang w:eastAsia="zh-CN"/>
              </w:rPr>
            </w:pPr>
          </w:p>
        </w:tc>
        <w:tc>
          <w:tcPr>
            <w:tcW w:w="5217" w:type="dxa"/>
          </w:tcPr>
          <w:p>
            <w:pPr>
              <w:spacing w:before="0" w:beforeLines="0" w:line="440" w:lineRule="exact"/>
              <w:ind w:right="13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w:t>
            </w:r>
            <w:r>
              <w:rPr>
                <w:rFonts w:hint="eastAsia" w:ascii="仿宋_GB2312" w:hAnsi="仿宋_GB2312" w:eastAsia="仿宋_GB2312" w:cs="仿宋_GB2312"/>
                <w:spacing w:val="-4"/>
                <w:sz w:val="28"/>
                <w:szCs w:val="28"/>
                <w:lang w:eastAsia="zh"/>
              </w:rPr>
              <w:t>.</w:t>
            </w:r>
            <w:r>
              <w:rPr>
                <w:rFonts w:hint="eastAsia" w:ascii="仿宋_GB2312" w:hAnsi="仿宋_GB2312" w:eastAsia="仿宋_GB2312" w:cs="仿宋_GB2312"/>
                <w:spacing w:val="-4"/>
                <w:sz w:val="28"/>
                <w:szCs w:val="28"/>
                <w:lang w:eastAsia="zh-CN"/>
              </w:rPr>
              <w:t>执行市级总体管控要求和宁河区区级管控要求。</w:t>
            </w:r>
          </w:p>
          <w:p>
            <w:pPr>
              <w:spacing w:before="0" w:beforeLines="0" w:line="440" w:lineRule="exact"/>
              <w:ind w:right="13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2.园区应实现雨污分流，园区污水集中收集处理设施稳定达标排放。</w:t>
            </w:r>
          </w:p>
          <w:p>
            <w:pPr>
              <w:spacing w:before="0" w:beforeLines="0" w:line="440" w:lineRule="exact"/>
              <w:ind w:right="12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3.禁止新建燃煤锅炉及工业炉窑，燃气锅炉进行低氮改造。</w:t>
            </w:r>
          </w:p>
          <w:p>
            <w:pPr>
              <w:spacing w:before="0" w:beforeLines="0" w:line="440" w:lineRule="exact"/>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4.通过源头替代与末端改造同步，行业升级与园区监管结合，点源治理与面源管控并重等方式，全面提升挥发性有机物污染防治水平。</w:t>
            </w:r>
          </w:p>
          <w:p>
            <w:pPr>
              <w:spacing w:before="0" w:beforeLines="0" w:line="440" w:lineRule="exact"/>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5.鼓励工业窑炉使用电、天然气等清洁能源或由周边热电厂供热。</w:t>
            </w:r>
          </w:p>
          <w:p>
            <w:pPr>
              <w:spacing w:before="0" w:beforeLines="0" w:line="440" w:lineRule="exact"/>
              <w:ind w:right="2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6.完善重污染响应机制，持续细化企业“一厂一策”，保障应急减排措施可操作、可核查。</w:t>
            </w:r>
          </w:p>
          <w:p>
            <w:pPr>
              <w:spacing w:before="0" w:beforeLines="0" w:line="440" w:lineRule="exact"/>
              <w:ind w:right="2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7.园区各类施工工地严格落实“六个百分之百”污染防控措施。</w:t>
            </w:r>
          </w:p>
          <w:p>
            <w:pPr>
              <w:spacing w:before="0" w:beforeLines="0" w:line="440" w:lineRule="exact"/>
              <w:ind w:right="101"/>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8.实行高污染燃料禁燃区Ⅱ类管控要求。</w:t>
            </w:r>
          </w:p>
          <w:p>
            <w:pPr>
              <w:spacing w:before="0" w:beforeLines="0" w:line="440" w:lineRule="exact"/>
              <w:ind w:right="101"/>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9.严把建设项目生态环境准入关，现有及新建项目严格落实国家大气污染物特别排放限值要求。</w:t>
            </w:r>
          </w:p>
          <w:p>
            <w:pPr>
              <w:spacing w:before="0" w:beforeLines="0" w:line="440" w:lineRule="exact"/>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10.</w:t>
            </w:r>
            <w:r>
              <w:rPr>
                <w:rFonts w:hint="eastAsia" w:ascii="仿宋_GB2312" w:hAnsi="仿宋_GB2312" w:eastAsia="仿宋_GB2312" w:cs="仿宋_GB2312"/>
                <w:color w:val="auto"/>
                <w:sz w:val="28"/>
                <w:szCs w:val="28"/>
                <w:lang w:eastAsia="zh-CN"/>
              </w:rPr>
              <w:t>推进工业园区水环境问题排查整治。全面调查评估工业废水收集、处理情况，对排查出的问题开展整治。加强工业企业、工业园区废水排放监管，确保工业废水稳定达标排放。</w:t>
            </w:r>
            <w:r>
              <w:rPr>
                <w:rFonts w:hint="eastAsia" w:ascii="仿宋_GB2312" w:hAnsi="仿宋_GB2312" w:eastAsia="仿宋_GB2312" w:cs="仿宋_GB2312"/>
                <w:color w:val="00B050"/>
                <w:sz w:val="28"/>
                <w:szCs w:val="28"/>
                <w:lang w:eastAsia="zh-CN"/>
              </w:rPr>
              <w:t>依据《天津市持续深入打好污染防治攻坚战三年行动方案》</w:t>
            </w:r>
          </w:p>
          <w:p>
            <w:pPr>
              <w:spacing w:before="0" w:beforeLines="0" w:line="440" w:lineRule="exact"/>
              <w:rPr>
                <w:rFonts w:hint="eastAsia" w:ascii="仿宋_GB2312" w:hAnsi="仿宋_GB2312" w:eastAsia="仿宋_GB2312" w:cs="仿宋_GB2312"/>
                <w:spacing w:val="-4"/>
                <w:sz w:val="28"/>
                <w:szCs w:val="28"/>
                <w:lang w:eastAsia="zh-CN"/>
              </w:rPr>
            </w:pPr>
          </w:p>
        </w:tc>
        <w:tc>
          <w:tcPr>
            <w:tcW w:w="2976" w:type="dxa"/>
          </w:tcPr>
          <w:p>
            <w:pPr>
              <w:spacing w:before="0" w:beforeLines="0" w:line="440" w:lineRule="exact"/>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0" w:beforeLines="0" w:line="440" w:lineRule="exact"/>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2.防范建设用地新增污染，强化空间布局管控。</w:t>
            </w:r>
          </w:p>
          <w:p>
            <w:pPr>
              <w:spacing w:before="0" w:beforeLines="0" w:line="440" w:lineRule="exact"/>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3.加强污染源监管，严控土壤重点行业企业污染，减少生活污染。</w:t>
            </w:r>
          </w:p>
          <w:p>
            <w:pPr>
              <w:spacing w:before="0" w:beforeLines="0" w:line="440" w:lineRule="exact"/>
              <w:ind w:right="102"/>
              <w:rPr>
                <w:rFonts w:hint="eastAsia" w:ascii="仿宋_GB2312" w:hAnsi="仿宋_GB2312" w:eastAsia="仿宋_GB2312" w:cs="仿宋_GB2312"/>
                <w:color w:val="00B050"/>
                <w:spacing w:val="-4"/>
                <w:sz w:val="28"/>
                <w:szCs w:val="28"/>
                <w:lang w:eastAsia="zh-CN"/>
              </w:rPr>
            </w:pPr>
            <w:r>
              <w:rPr>
                <w:rFonts w:hint="eastAsia" w:ascii="仿宋_GB2312" w:hAnsi="仿宋_GB2312" w:eastAsia="仿宋_GB2312" w:cs="仿宋_GB2312"/>
                <w:spacing w:val="-4"/>
                <w:sz w:val="28"/>
                <w:szCs w:val="28"/>
                <w:lang w:eastAsia="zh-CN"/>
              </w:rPr>
              <w:t>4.危险废物实现综合利用、安全处置。</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p>
            <w:pPr>
              <w:spacing w:before="0" w:beforeLines="0" w:line="440" w:lineRule="exact"/>
              <w:ind w:right="102"/>
              <w:rPr>
                <w:rFonts w:hint="eastAsia" w:ascii="仿宋_GB2312" w:hAnsi="仿宋_GB2312" w:eastAsia="仿宋_GB2312" w:cs="仿宋_GB2312"/>
                <w:b/>
                <w:bCs/>
                <w:spacing w:val="-4"/>
                <w:sz w:val="28"/>
                <w:szCs w:val="28"/>
                <w:lang w:eastAsia="zh-CN"/>
              </w:rPr>
            </w:pPr>
          </w:p>
        </w:tc>
        <w:tc>
          <w:tcPr>
            <w:tcW w:w="2788" w:type="dxa"/>
          </w:tcPr>
          <w:p>
            <w:pPr>
              <w:spacing w:before="0" w:beforeLines="0" w:line="440" w:lineRule="exact"/>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w:t>
            </w:r>
            <w:r>
              <w:rPr>
                <w:rFonts w:hint="eastAsia" w:ascii="仿宋_GB2312" w:hAnsi="仿宋_GB2312" w:eastAsia="仿宋_GB2312" w:cs="仿宋_GB2312"/>
                <w:spacing w:val="-4"/>
                <w:sz w:val="28"/>
                <w:szCs w:val="28"/>
                <w:lang w:eastAsia="zh"/>
              </w:rPr>
              <w:t>.</w:t>
            </w:r>
            <w:r>
              <w:rPr>
                <w:rFonts w:hint="eastAsia" w:ascii="仿宋_GB2312" w:hAnsi="仿宋_GB2312" w:eastAsia="仿宋_GB2312" w:cs="仿宋_GB2312"/>
                <w:spacing w:val="-4"/>
                <w:sz w:val="28"/>
                <w:szCs w:val="28"/>
                <w:lang w:eastAsia="zh-CN"/>
              </w:rPr>
              <w:t>执行市级总体管控要求和宁河区区级管控要求。</w:t>
            </w:r>
          </w:p>
          <w:p>
            <w:pPr>
              <w:spacing w:before="0" w:beforeLines="0" w:line="440" w:lineRule="exact"/>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2.建设尽量不采用地下水，研究其他可替代水源，并尽快落实引滦水。</w:t>
            </w:r>
          </w:p>
          <w:p>
            <w:pPr>
              <w:spacing w:before="0" w:beforeLines="0" w:line="440" w:lineRule="exact"/>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3.产业区应充分利用雨水资源，做好回用设计，企业内部节水和中水再利用应作为保障产业区水资源利用的主要途径。</w:t>
            </w:r>
          </w:p>
          <w:p>
            <w:pPr>
              <w:spacing w:before="0" w:beforeLines="0" w:line="440" w:lineRule="exact"/>
              <w:ind w:right="104"/>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4.宁河区产业区用水量大，要注重生产、生活节水，建设“节水型产业区”，并研究雨水收集再利用方案的可行性，最大限度地节约用水。</w:t>
            </w:r>
          </w:p>
          <w:p>
            <w:pPr>
              <w:spacing w:before="0" w:beforeLines="0" w:line="440" w:lineRule="exact"/>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5.集中供热应采用天然气等清洁能源为燃料，鼓励使用地热能、工业余热等清洁可再生能源，实现区域能源综合高效利用。</w:t>
            </w:r>
          </w:p>
          <w:p>
            <w:pPr>
              <w:spacing w:before="0" w:beforeLines="0" w:line="440" w:lineRule="exact"/>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6.引导工业园区绿色化改造。推动产业园区实施循环化、节能低碳化改造，促进资源循环利用、能量梯级利用。</w:t>
            </w:r>
            <w:r>
              <w:rPr>
                <w:rFonts w:hint="eastAsia" w:ascii="仿宋_GB2312" w:hAnsi="仿宋_GB2312" w:eastAsia="仿宋_GB2312" w:cs="仿宋_GB2312"/>
                <w:color w:val="00B050"/>
                <w:sz w:val="28"/>
                <w:szCs w:val="28"/>
                <w:lang w:eastAsia="zh-CN"/>
              </w:rPr>
              <w:t>依据《天津市生态环境保护“十四五”规划》</w:t>
            </w:r>
          </w:p>
          <w:p>
            <w:pPr>
              <w:spacing w:before="0" w:beforeLines="0" w:line="279" w:lineRule="auto"/>
              <w:ind w:right="105"/>
              <w:rPr>
                <w:rFonts w:hint="eastAsia" w:ascii="仿宋_GB2312" w:hAnsi="仿宋_GB2312" w:eastAsia="仿宋_GB2312" w:cs="仿宋_GB2312"/>
                <w:sz w:val="28"/>
                <w:szCs w:val="28"/>
                <w:lang w:eastAsia="zh-CN"/>
              </w:rPr>
            </w:pPr>
          </w:p>
        </w:tc>
      </w:tr>
    </w:tbl>
    <w:p>
      <w:pPr>
        <w:spacing w:line="224" w:lineRule="exact"/>
        <w:rPr>
          <w:sz w:val="19"/>
          <w:lang w:eastAsia="zh-CN"/>
        </w:rPr>
      </w:pPr>
    </w:p>
    <w:p>
      <w:pPr>
        <w:spacing w:line="224" w:lineRule="exact"/>
        <w:rPr>
          <w:sz w:val="19"/>
          <w:szCs w:val="19"/>
          <w:lang w:eastAsia="zh-CN"/>
        </w:rPr>
        <w:sectPr>
          <w:footerReference r:id="rId5" w:type="default"/>
          <w:pgSz w:w="23811" w:h="16839"/>
          <w:pgMar w:top="1431" w:right="1438" w:bottom="1707" w:left="1440" w:header="0" w:footer="1456" w:gutter="0"/>
          <w:pgNumType w:fmt="decimal"/>
          <w:cols w:space="720" w:num="1"/>
        </w:sectPr>
      </w:pPr>
    </w:p>
    <w:p>
      <w:pPr>
        <w:spacing w:before="120" w:line="219" w:lineRule="auto"/>
        <w:ind w:left="32"/>
        <w:outlineLvl w:val="0"/>
        <w:rPr>
          <w:rFonts w:ascii="Times New Roman" w:hAnsi="Times New Roman" w:eastAsia="黑体" w:cs="Times New Roman"/>
          <w:bCs/>
          <w:snapToGrid/>
          <w:color w:val="auto"/>
          <w:kern w:val="2"/>
          <w:sz w:val="28"/>
          <w:szCs w:val="32"/>
          <w:lang w:eastAsia="zh-CN"/>
        </w:rPr>
      </w:pPr>
      <w:bookmarkStart w:id="59" w:name="_Toc1748121870"/>
      <w:bookmarkStart w:id="60" w:name="_Toc2046623841"/>
      <w:bookmarkStart w:id="61" w:name="_Toc550853004"/>
      <w:bookmarkStart w:id="62" w:name="_Toc1736839663"/>
      <w:bookmarkStart w:id="63" w:name="_Toc197490928"/>
      <w:bookmarkStart w:id="64" w:name="_Toc512980366"/>
      <w:bookmarkStart w:id="65" w:name="_Toc943830720"/>
      <w:r>
        <w:rPr>
          <w:rFonts w:hint="eastAsia" w:ascii="Times New Roman" w:hAnsi="Times New Roman" w:eastAsia="黑体" w:cs="Times New Roman"/>
          <w:bCs/>
          <w:snapToGrid/>
          <w:color w:val="auto"/>
          <w:kern w:val="2"/>
          <w:sz w:val="28"/>
          <w:szCs w:val="32"/>
          <w:lang w:eastAsia="zh-CN"/>
        </w:rPr>
        <w:t>2.2</w:t>
      </w:r>
      <w:r>
        <w:rPr>
          <w:rFonts w:ascii="Times New Roman" w:hAnsi="Times New Roman" w:eastAsia="黑体" w:cs="Times New Roman"/>
          <w:bCs/>
          <w:snapToGrid/>
          <w:color w:val="auto"/>
          <w:kern w:val="2"/>
          <w:sz w:val="28"/>
          <w:szCs w:val="32"/>
          <w:lang w:eastAsia="zh-CN"/>
        </w:rPr>
        <w:t>宁河区天津潘庄工业区单元</w:t>
      </w:r>
      <w:r>
        <w:rPr>
          <w:rFonts w:hint="eastAsia" w:ascii="Times New Roman" w:hAnsi="Times New Roman" w:eastAsia="黑体" w:cs="Times New Roman"/>
          <w:bCs/>
          <w:snapToGrid/>
          <w:color w:val="auto"/>
          <w:kern w:val="2"/>
          <w:sz w:val="28"/>
          <w:szCs w:val="32"/>
          <w:lang w:eastAsia="zh-CN"/>
        </w:rPr>
        <w:t>管控要求</w:t>
      </w:r>
      <w:bookmarkEnd w:id="59"/>
      <w:bookmarkEnd w:id="60"/>
      <w:bookmarkEnd w:id="61"/>
      <w:bookmarkEnd w:id="62"/>
      <w:bookmarkEnd w:id="63"/>
      <w:bookmarkEnd w:id="64"/>
      <w:bookmarkEnd w:id="65"/>
    </w:p>
    <w:p>
      <w:pPr>
        <w:spacing w:line="221" w:lineRule="exact"/>
        <w:rPr>
          <w:lang w:eastAsia="zh-CN"/>
        </w:rPr>
      </w:pPr>
    </w:p>
    <w:tbl>
      <w:tblPr>
        <w:tblStyle w:val="16"/>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1"/>
        <w:gridCol w:w="914"/>
        <w:gridCol w:w="992"/>
        <w:gridCol w:w="709"/>
        <w:gridCol w:w="709"/>
        <w:gridCol w:w="4277"/>
        <w:gridCol w:w="5362"/>
        <w:gridCol w:w="2410"/>
        <w:gridCol w:w="40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91" w:type="dxa"/>
            <w:vAlign w:val="center"/>
          </w:tcPr>
          <w:p>
            <w:pPr>
              <w:spacing w:before="91" w:line="276" w:lineRule="auto"/>
              <w:ind w:right="18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w:t>
            </w:r>
            <w:r>
              <w:rPr>
                <w:rFonts w:hint="eastAsia" w:ascii="仿宋_GB2312" w:hAnsi="仿宋_GB2312" w:eastAsia="仿宋_GB2312" w:cs="仿宋_GB2312"/>
                <w:spacing w:val="-6"/>
                <w:sz w:val="28"/>
                <w:szCs w:val="28"/>
              </w:rPr>
              <w:t>单元编码</w:t>
            </w:r>
          </w:p>
        </w:tc>
        <w:tc>
          <w:tcPr>
            <w:tcW w:w="914" w:type="dxa"/>
            <w:vAlign w:val="center"/>
          </w:tcPr>
          <w:p>
            <w:pPr>
              <w:spacing w:before="91" w:line="276" w:lineRule="auto"/>
              <w:ind w:right="14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环境管控单</w:t>
            </w:r>
            <w:r>
              <w:rPr>
                <w:rFonts w:hint="eastAsia" w:ascii="仿宋_GB2312" w:hAnsi="仿宋_GB2312" w:eastAsia="仿宋_GB2312" w:cs="仿宋_GB2312"/>
                <w:spacing w:val="-5"/>
                <w:sz w:val="28"/>
                <w:szCs w:val="28"/>
              </w:rPr>
              <w:t>元名称</w:t>
            </w:r>
          </w:p>
        </w:tc>
        <w:tc>
          <w:tcPr>
            <w:tcW w:w="992" w:type="dxa"/>
            <w:vAlign w:val="center"/>
          </w:tcPr>
          <w:p>
            <w:pPr>
              <w:spacing w:before="91" w:line="278" w:lineRule="auto"/>
              <w:ind w:right="14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行政</w:t>
            </w:r>
            <w:r>
              <w:rPr>
                <w:rFonts w:hint="eastAsia" w:ascii="仿宋_GB2312" w:hAnsi="仿宋_GB2312" w:eastAsia="仿宋_GB2312" w:cs="仿宋_GB2312"/>
                <w:spacing w:val="-21"/>
                <w:sz w:val="28"/>
                <w:szCs w:val="28"/>
              </w:rPr>
              <w:t>区划</w:t>
            </w:r>
          </w:p>
        </w:tc>
        <w:tc>
          <w:tcPr>
            <w:tcW w:w="709" w:type="dxa"/>
            <w:vAlign w:val="center"/>
          </w:tcPr>
          <w:p>
            <w:pPr>
              <w:spacing w:before="117" w:line="264" w:lineRule="auto"/>
              <w:ind w:left="161" w:right="142" w:firstLine="12"/>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管控</w:t>
            </w:r>
            <w:r>
              <w:rPr>
                <w:rFonts w:hint="eastAsia" w:ascii="仿宋_GB2312" w:hAnsi="仿宋_GB2312" w:eastAsia="仿宋_GB2312" w:cs="仿宋_GB2312"/>
                <w:spacing w:val="-11"/>
                <w:sz w:val="28"/>
                <w:szCs w:val="28"/>
              </w:rPr>
              <w:t>单元分类</w:t>
            </w:r>
          </w:p>
        </w:tc>
        <w:tc>
          <w:tcPr>
            <w:tcW w:w="709" w:type="dxa"/>
            <w:vAlign w:val="center"/>
          </w:tcPr>
          <w:p>
            <w:pPr>
              <w:spacing w:before="91" w:line="221"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备注</w:t>
            </w:r>
          </w:p>
        </w:tc>
        <w:tc>
          <w:tcPr>
            <w:tcW w:w="4277" w:type="dxa"/>
            <w:vAlign w:val="center"/>
          </w:tcPr>
          <w:p>
            <w:pPr>
              <w:spacing w:before="91" w:line="21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空间布局约束</w:t>
            </w:r>
          </w:p>
        </w:tc>
        <w:tc>
          <w:tcPr>
            <w:tcW w:w="5362" w:type="dxa"/>
            <w:vAlign w:val="center"/>
          </w:tcPr>
          <w:p>
            <w:pPr>
              <w:spacing w:before="91" w:line="217"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污染物排放管控</w:t>
            </w:r>
          </w:p>
        </w:tc>
        <w:tc>
          <w:tcPr>
            <w:tcW w:w="2410" w:type="dxa"/>
            <w:vAlign w:val="center"/>
          </w:tcPr>
          <w:p>
            <w:pPr>
              <w:spacing w:before="91"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环境风险防控</w:t>
            </w:r>
          </w:p>
        </w:tc>
        <w:tc>
          <w:tcPr>
            <w:tcW w:w="4063" w:type="dxa"/>
            <w:vAlign w:val="center"/>
          </w:tcPr>
          <w:p>
            <w:pPr>
              <w:spacing w:before="91"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资源开发效率要求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91" w:type="dxa"/>
            <w:vAlign w:val="center"/>
          </w:tcPr>
          <w:p>
            <w:pPr>
              <w:spacing w:before="80" w:line="324" w:lineRule="auto"/>
              <w:ind w:left="396" w:right="141" w:hanging="251"/>
              <w:jc w:val="center"/>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2"/>
                <w:sz w:val="28"/>
                <w:szCs w:val="28"/>
              </w:rPr>
              <w:t>ZH120117</w:t>
            </w:r>
            <w:r>
              <w:rPr>
                <w:rFonts w:hint="eastAsia" w:ascii="仿宋_GB2312" w:hAnsi="仿宋_GB2312" w:eastAsia="仿宋_GB2312" w:cs="仿宋_GB2312"/>
                <w:spacing w:val="-1"/>
                <w:sz w:val="28"/>
                <w:szCs w:val="28"/>
              </w:rPr>
              <w:t>20002</w:t>
            </w:r>
          </w:p>
        </w:tc>
        <w:tc>
          <w:tcPr>
            <w:tcW w:w="914" w:type="dxa"/>
            <w:vAlign w:val="center"/>
          </w:tcPr>
          <w:p>
            <w:pPr>
              <w:spacing w:before="91" w:line="285" w:lineRule="auto"/>
              <w:ind w:left="128" w:right="107" w:firstLine="1"/>
              <w:jc w:val="center"/>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10"/>
                <w:sz w:val="28"/>
                <w:szCs w:val="28"/>
                <w:lang w:eastAsia="zh-CN"/>
              </w:rPr>
              <w:t>市级—宁河</w:t>
            </w:r>
            <w:r>
              <w:rPr>
                <w:rFonts w:hint="eastAsia" w:ascii="仿宋_GB2312" w:hAnsi="仿宋_GB2312" w:eastAsia="仿宋_GB2312" w:cs="仿宋_GB2312"/>
                <w:spacing w:val="11"/>
                <w:sz w:val="28"/>
                <w:szCs w:val="28"/>
                <w:lang w:eastAsia="zh-CN"/>
              </w:rPr>
              <w:t>区天津潘庄</w:t>
            </w:r>
            <w:r>
              <w:rPr>
                <w:rFonts w:hint="eastAsia" w:ascii="仿宋_GB2312" w:hAnsi="仿宋_GB2312" w:eastAsia="仿宋_GB2312" w:cs="仿宋_GB2312"/>
                <w:spacing w:val="-6"/>
                <w:sz w:val="28"/>
                <w:szCs w:val="28"/>
                <w:lang w:eastAsia="zh-CN"/>
              </w:rPr>
              <w:t>工业区</w:t>
            </w:r>
          </w:p>
        </w:tc>
        <w:tc>
          <w:tcPr>
            <w:tcW w:w="992" w:type="dxa"/>
            <w:vAlign w:val="center"/>
          </w:tcPr>
          <w:p>
            <w:pPr>
              <w:spacing w:before="91" w:line="281" w:lineRule="auto"/>
              <w:ind w:left="323" w:right="145" w:hanging="150"/>
              <w:jc w:val="center"/>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宁河区</w:t>
            </w:r>
          </w:p>
        </w:tc>
        <w:tc>
          <w:tcPr>
            <w:tcW w:w="709" w:type="dxa"/>
            <w:vAlign w:val="center"/>
          </w:tcPr>
          <w:p>
            <w:pPr>
              <w:spacing w:before="91" w:line="281" w:lineRule="auto"/>
              <w:ind w:left="164" w:right="142" w:firstLine="3"/>
              <w:jc w:val="center"/>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13"/>
                <w:sz w:val="28"/>
                <w:szCs w:val="28"/>
              </w:rPr>
              <w:t>重点</w:t>
            </w:r>
            <w:r>
              <w:rPr>
                <w:rFonts w:hint="eastAsia" w:ascii="仿宋_GB2312" w:hAnsi="仿宋_GB2312" w:eastAsia="仿宋_GB2312" w:cs="仿宋_GB2312"/>
                <w:spacing w:val="-12"/>
                <w:sz w:val="28"/>
                <w:szCs w:val="28"/>
              </w:rPr>
              <w:t>管控单元</w:t>
            </w:r>
          </w:p>
        </w:tc>
        <w:tc>
          <w:tcPr>
            <w:tcW w:w="709" w:type="dxa"/>
            <w:vAlign w:val="center"/>
          </w:tcPr>
          <w:p>
            <w:pPr>
              <w:spacing w:before="91" w:line="276" w:lineRule="auto"/>
              <w:ind w:left="188" w:right="144" w:hanging="25"/>
              <w:jc w:val="center"/>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10"/>
                <w:sz w:val="28"/>
                <w:szCs w:val="28"/>
              </w:rPr>
              <w:t>产业</w:t>
            </w:r>
            <w:r>
              <w:rPr>
                <w:rFonts w:hint="eastAsia" w:ascii="仿宋_GB2312" w:hAnsi="仿宋_GB2312" w:eastAsia="仿宋_GB2312" w:cs="仿宋_GB2312"/>
                <w:spacing w:val="-23"/>
                <w:sz w:val="28"/>
                <w:szCs w:val="28"/>
              </w:rPr>
              <w:t>园区</w:t>
            </w:r>
          </w:p>
        </w:tc>
        <w:tc>
          <w:tcPr>
            <w:tcW w:w="4277" w:type="dxa"/>
          </w:tcPr>
          <w:p>
            <w:pPr>
              <w:spacing w:before="91" w:line="287" w:lineRule="auto"/>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87" w:lineRule="auto"/>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2.工业区内招商引资应严格按照规划原则要求，对那些资源消耗量大、污染严重的项目应严格禁止入园。</w:t>
            </w:r>
          </w:p>
          <w:p>
            <w:pPr>
              <w:spacing w:before="91" w:line="287" w:lineRule="auto"/>
              <w:ind w:right="105"/>
              <w:rPr>
                <w:rFonts w:hint="eastAsia" w:ascii="仿宋_GB2312" w:hAnsi="仿宋_GB2312" w:eastAsia="仿宋_GB2312" w:cs="仿宋_GB2312"/>
                <w:color w:val="00B050"/>
                <w:sz w:val="28"/>
                <w:szCs w:val="28"/>
                <w:lang w:eastAsia="zh-CN"/>
              </w:rPr>
            </w:pPr>
            <w:r>
              <w:rPr>
                <w:rFonts w:hint="eastAsia" w:ascii="仿宋_GB2312" w:hAnsi="仿宋_GB2312" w:eastAsia="仿宋_GB2312" w:cs="仿宋_GB2312"/>
                <w:spacing w:val="-4"/>
                <w:sz w:val="28"/>
                <w:szCs w:val="28"/>
                <w:lang w:eastAsia="zh-CN"/>
              </w:rPr>
              <w:t>3.严禁向禁止类工业项目供地，限制发展类产业禁止投资新建项目和简单扩大再生产，可实施技术改造和智能化升级；对不符合产业政策、环境保护、安全生产等要求的企业，予以清退淘汰。对规划工业用地用途已调整但五年内暂不实施的区域，可实施工业技术改造和智能化升级项目。</w:t>
            </w:r>
            <w:r>
              <w:rPr>
                <w:rFonts w:hint="eastAsia" w:ascii="仿宋_GB2312" w:hAnsi="仿宋_GB2312" w:eastAsia="仿宋_GB2312" w:cs="仿宋_GB2312"/>
                <w:color w:val="00B050"/>
                <w:sz w:val="28"/>
                <w:szCs w:val="28"/>
                <w:lang w:eastAsia="zh-CN"/>
              </w:rPr>
              <w:t>依据《（天津市工业布局规划（2022-2035年）》</w:t>
            </w:r>
          </w:p>
          <w:p>
            <w:pPr>
              <w:spacing w:before="91" w:line="287" w:lineRule="auto"/>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4.加强治理过程协同。推进潘庄工业园和宁河经济开发区等工业园区实施循环化改。</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5362" w:type="dxa"/>
          </w:tcPr>
          <w:p>
            <w:pPr>
              <w:spacing w:before="98" w:line="269" w:lineRule="auto"/>
              <w:ind w:right="9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8" w:line="269" w:lineRule="auto"/>
              <w:ind w:right="9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2.根据国家排污许可相关管理制度，强化对雨水排放口管控，提出日常监管要求，全面推动排污单位“雨污分流”，严格监管通过雨水排放口偷排漏排污染物行为。</w:t>
            </w:r>
          </w:p>
          <w:p>
            <w:pPr>
              <w:spacing w:before="45" w:line="263" w:lineRule="auto"/>
              <w:ind w:right="120"/>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3.资源消耗量大、污染严重的项目严格禁止入园。</w:t>
            </w:r>
          </w:p>
          <w:p>
            <w:pPr>
              <w:spacing w:before="45" w:line="267" w:lineRule="auto"/>
              <w:ind w:right="24"/>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4.通过源头替代与末端改造同步，行业升级与园区监管结合，点源治理与面源管控并重等方式，全面提升挥发性有机物污染防治水平。</w:t>
            </w:r>
          </w:p>
          <w:p>
            <w:pPr>
              <w:spacing w:before="45" w:line="272" w:lineRule="auto"/>
              <w:ind w:right="3"/>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5.严把建设项目生态环境准入关，现有及新建项目严格落实国家大气污染物特别排放限值要求。</w:t>
            </w:r>
          </w:p>
          <w:p>
            <w:pPr>
              <w:spacing w:before="66" w:line="217" w:lineRule="auto"/>
              <w:rPr>
                <w:rFonts w:hint="eastAsia" w:ascii="仿宋_GB2312" w:hAnsi="仿宋_GB2312" w:eastAsia="仿宋_GB2312" w:cs="仿宋_GB2312"/>
                <w:color w:val="00B050"/>
                <w:sz w:val="28"/>
                <w:szCs w:val="28"/>
                <w:lang w:eastAsia="zh-CN"/>
              </w:rPr>
            </w:pPr>
            <w:r>
              <w:rPr>
                <w:rFonts w:hint="eastAsia" w:ascii="仿宋_GB2312" w:hAnsi="仿宋_GB2312" w:eastAsia="仿宋_GB2312" w:cs="仿宋_GB2312"/>
                <w:spacing w:val="-4"/>
                <w:sz w:val="28"/>
                <w:szCs w:val="28"/>
                <w:lang w:eastAsia="zh-CN"/>
              </w:rPr>
              <w:t>6.</w:t>
            </w:r>
            <w:r>
              <w:rPr>
                <w:rFonts w:hint="eastAsia" w:ascii="仿宋_GB2312" w:hAnsi="仿宋_GB2312" w:eastAsia="仿宋_GB2312" w:cs="仿宋_GB2312"/>
                <w:color w:val="auto"/>
                <w:sz w:val="28"/>
                <w:szCs w:val="28"/>
                <w:lang w:eastAsia="zh-CN"/>
              </w:rPr>
              <w:t>推进工业园区水环境问题排查整治。全面调查评估工业废水收集、处理情况，对排查出的问题开展整治。加强工业企业、工业园区废水排放监管，确保工业废水稳定达标排放。</w:t>
            </w:r>
            <w:r>
              <w:rPr>
                <w:rFonts w:hint="eastAsia" w:ascii="仿宋_GB2312" w:hAnsi="仿宋_GB2312" w:eastAsia="仿宋_GB2312" w:cs="仿宋_GB2312"/>
                <w:color w:val="00B050"/>
                <w:sz w:val="28"/>
                <w:szCs w:val="28"/>
                <w:lang w:eastAsia="zh-CN"/>
              </w:rPr>
              <w:t>依据《天津市持续深入打好污染防治攻坚战三年行动方案》</w:t>
            </w:r>
          </w:p>
          <w:p>
            <w:pPr>
              <w:spacing w:before="66" w:line="217" w:lineRule="auto"/>
              <w:rPr>
                <w:rFonts w:hint="eastAsia" w:ascii="仿宋_GB2312" w:hAnsi="仿宋_GB2312" w:eastAsia="仿宋_GB2312" w:cs="仿宋_GB2312"/>
                <w:color w:val="00B050"/>
                <w:sz w:val="28"/>
                <w:szCs w:val="28"/>
                <w:lang w:eastAsia="zh-CN"/>
              </w:rPr>
            </w:pPr>
            <w:r>
              <w:rPr>
                <w:rFonts w:hint="eastAsia" w:ascii="仿宋_GB2312" w:hAnsi="仿宋_GB2312" w:eastAsia="仿宋_GB2312" w:cs="仿宋_GB2312"/>
                <w:color w:val="auto"/>
                <w:sz w:val="28"/>
                <w:szCs w:val="28"/>
                <w:lang w:eastAsia="zh-CN"/>
              </w:rPr>
              <w:t>7.完善重污染响应机制，持续细化企业“一厂一策”，保障应急减排措施可操作、可核查。</w:t>
            </w:r>
          </w:p>
        </w:tc>
        <w:tc>
          <w:tcPr>
            <w:tcW w:w="2410" w:type="dxa"/>
          </w:tcPr>
          <w:p>
            <w:pPr>
              <w:spacing w:before="98" w:line="269" w:lineRule="auto"/>
              <w:ind w:right="9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79" w:lineRule="auto"/>
              <w:ind w:right="103"/>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2.防范建设用地新增污染，强化空间布局管控。</w:t>
            </w:r>
          </w:p>
          <w:p>
            <w:pPr>
              <w:spacing w:before="49" w:line="283" w:lineRule="auto"/>
              <w:ind w:right="103"/>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3.加强污染源监管，严控土壤重点行业企业污染，减少生活污染。</w:t>
            </w:r>
          </w:p>
          <w:p>
            <w:pPr>
              <w:spacing w:before="46" w:line="284" w:lineRule="auto"/>
              <w:ind w:right="102"/>
              <w:rPr>
                <w:rFonts w:hint="eastAsia" w:ascii="仿宋_GB2312" w:hAnsi="仿宋_GB2312" w:eastAsia="仿宋_GB2312" w:cs="仿宋_GB2312"/>
                <w:color w:val="00B050"/>
                <w:spacing w:val="-4"/>
                <w:sz w:val="28"/>
                <w:szCs w:val="28"/>
                <w:lang w:eastAsia="zh-CN"/>
              </w:rPr>
            </w:pPr>
            <w:r>
              <w:rPr>
                <w:rFonts w:hint="eastAsia" w:ascii="仿宋_GB2312" w:hAnsi="仿宋_GB2312" w:eastAsia="仿宋_GB2312" w:cs="仿宋_GB2312"/>
                <w:spacing w:val="-4"/>
                <w:sz w:val="28"/>
                <w:szCs w:val="28"/>
                <w:lang w:eastAsia="zh-CN"/>
              </w:rPr>
              <w:t>4.危险废物实现综合利用、安全处置。</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p>
            <w:pPr>
              <w:spacing w:before="49" w:line="283" w:lineRule="auto"/>
              <w:ind w:right="103"/>
              <w:rPr>
                <w:rFonts w:hint="eastAsia" w:ascii="仿宋_GB2312" w:hAnsi="仿宋_GB2312" w:eastAsia="仿宋_GB2312" w:cs="仿宋_GB2312"/>
                <w:spacing w:val="-4"/>
                <w:sz w:val="28"/>
                <w:szCs w:val="28"/>
                <w:lang w:eastAsia="zh-CN"/>
              </w:rPr>
            </w:pPr>
          </w:p>
        </w:tc>
        <w:tc>
          <w:tcPr>
            <w:tcW w:w="4063" w:type="dxa"/>
          </w:tcPr>
          <w:p>
            <w:pPr>
              <w:spacing w:before="98" w:line="269" w:lineRule="auto"/>
              <w:ind w:right="9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84" w:lineRule="auto"/>
              <w:ind w:right="74"/>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2.配套建设中水厂，对污水进行深度处理回用。且对入区企业使用中水提供基础设施、收费政策等方面的优惠，提倡水资源的高效利用。</w:t>
            </w:r>
          </w:p>
          <w:p>
            <w:pPr>
              <w:spacing w:before="38" w:line="285" w:lineRule="auto"/>
              <w:ind w:right="8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3.宁河区工业区用水量大，要注重生产、生活节水，建设“节水型工业区”，并研究雨水收集再利用方案的可行性，最大限度地节约用水。</w:t>
            </w:r>
          </w:p>
          <w:p>
            <w:pPr>
              <w:spacing w:before="46" w:line="284" w:lineRule="auto"/>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4.潘庄工业区处于地下水超采区，建设尽量不采用或少采用地下水，研究其他可替代水源，并尽快落实引滦水。</w:t>
            </w:r>
          </w:p>
          <w:p>
            <w:pPr>
              <w:spacing w:before="43" w:line="283" w:lineRule="auto"/>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5.优化能源结构和推广应用节能减排技术，不断提高天然气、太阳能、地热能等清洁能源比例。</w:t>
            </w:r>
          </w:p>
          <w:p>
            <w:pPr>
              <w:spacing w:before="46" w:line="279" w:lineRule="auto"/>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6.引导工业园区绿色化改造。推动产业园区实施循环化、节能低碳化改造，促进资源循环利用、能量梯级利用。</w:t>
            </w:r>
            <w:r>
              <w:rPr>
                <w:rFonts w:hint="eastAsia" w:ascii="仿宋_GB2312" w:hAnsi="仿宋_GB2312" w:eastAsia="仿宋_GB2312" w:cs="仿宋_GB2312"/>
                <w:color w:val="00B050"/>
                <w:sz w:val="28"/>
                <w:szCs w:val="28"/>
                <w:lang w:eastAsia="zh-CN"/>
              </w:rPr>
              <w:t>依据《天津市生态环境保护“十四五”规划》</w:t>
            </w:r>
          </w:p>
        </w:tc>
      </w:tr>
    </w:tbl>
    <w:p>
      <w:pPr>
        <w:rPr>
          <w:rFonts w:hint="eastAsia" w:ascii="仿宋" w:hAnsi="仿宋" w:eastAsia="仿宋" w:cs="仿宋"/>
          <w:spacing w:val="-4"/>
          <w:sz w:val="28"/>
          <w:szCs w:val="28"/>
          <w:lang w:eastAsia="zh-CN"/>
        </w:rPr>
      </w:pPr>
    </w:p>
    <w:p>
      <w:pPr>
        <w:spacing w:before="121" w:line="219" w:lineRule="auto"/>
        <w:ind w:left="32"/>
        <w:outlineLvl w:val="0"/>
        <w:rPr>
          <w:rFonts w:ascii="Times New Roman" w:hAnsi="Times New Roman" w:eastAsia="黑体" w:cs="Times New Roman"/>
          <w:bCs/>
          <w:snapToGrid/>
          <w:color w:val="auto"/>
          <w:kern w:val="2"/>
          <w:sz w:val="28"/>
          <w:szCs w:val="32"/>
          <w:lang w:eastAsia="zh-CN"/>
        </w:rPr>
      </w:pPr>
      <w:bookmarkStart w:id="66" w:name="_Toc1208780701"/>
      <w:bookmarkStart w:id="67" w:name="_Toc703483282"/>
      <w:bookmarkStart w:id="68" w:name="_Toc1895678070"/>
      <w:bookmarkStart w:id="69" w:name="_Toc966573347"/>
      <w:bookmarkStart w:id="70" w:name="_Toc405111360"/>
      <w:bookmarkStart w:id="71" w:name="_Toc364814956"/>
      <w:bookmarkStart w:id="72" w:name="_Toc1307201358"/>
      <w:r>
        <w:rPr>
          <w:rFonts w:hint="eastAsia" w:ascii="Times New Roman" w:hAnsi="Times New Roman" w:eastAsia="黑体" w:cs="Times New Roman"/>
          <w:bCs/>
          <w:snapToGrid/>
          <w:color w:val="auto"/>
          <w:kern w:val="2"/>
          <w:sz w:val="28"/>
          <w:szCs w:val="32"/>
          <w:lang w:eastAsia="zh-CN"/>
        </w:rPr>
        <w:t>2.3</w:t>
      </w:r>
      <w:r>
        <w:rPr>
          <w:rFonts w:ascii="Times New Roman" w:hAnsi="Times New Roman" w:eastAsia="黑体" w:cs="Times New Roman"/>
          <w:bCs/>
          <w:snapToGrid/>
          <w:color w:val="auto"/>
          <w:kern w:val="2"/>
          <w:sz w:val="28"/>
          <w:szCs w:val="32"/>
          <w:lang w:eastAsia="zh-CN"/>
        </w:rPr>
        <w:t>宁河区天津市宁河现代产业区单元</w:t>
      </w:r>
      <w:r>
        <w:rPr>
          <w:rFonts w:hint="eastAsia" w:ascii="Times New Roman" w:hAnsi="Times New Roman" w:eastAsia="黑体" w:cs="Times New Roman"/>
          <w:bCs/>
          <w:snapToGrid/>
          <w:color w:val="auto"/>
          <w:kern w:val="2"/>
          <w:sz w:val="28"/>
          <w:szCs w:val="32"/>
          <w:lang w:eastAsia="zh-CN"/>
        </w:rPr>
        <w:t>管控要求</w:t>
      </w:r>
      <w:bookmarkEnd w:id="66"/>
      <w:bookmarkEnd w:id="67"/>
      <w:bookmarkEnd w:id="68"/>
      <w:bookmarkEnd w:id="69"/>
      <w:bookmarkEnd w:id="70"/>
      <w:bookmarkEnd w:id="71"/>
      <w:bookmarkEnd w:id="72"/>
    </w:p>
    <w:p>
      <w:pPr>
        <w:spacing w:line="220" w:lineRule="exact"/>
        <w:rPr>
          <w:lang w:eastAsia="zh-CN"/>
        </w:rPr>
      </w:pPr>
    </w:p>
    <w:tbl>
      <w:tblPr>
        <w:tblStyle w:val="16"/>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1368"/>
        <w:gridCol w:w="780"/>
        <w:gridCol w:w="1039"/>
        <w:gridCol w:w="1058"/>
        <w:gridCol w:w="2767"/>
        <w:gridCol w:w="6631"/>
        <w:gridCol w:w="2161"/>
        <w:gridCol w:w="3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88" w:type="dxa"/>
            <w:vAlign w:val="center"/>
          </w:tcPr>
          <w:p>
            <w:pPr>
              <w:spacing w:before="91" w:line="276" w:lineRule="auto"/>
              <w:ind w:right="18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w:t>
            </w:r>
            <w:r>
              <w:rPr>
                <w:rFonts w:hint="eastAsia" w:ascii="仿宋_GB2312" w:hAnsi="仿宋_GB2312" w:eastAsia="仿宋_GB2312" w:cs="仿宋_GB2312"/>
                <w:spacing w:val="-6"/>
                <w:sz w:val="28"/>
                <w:szCs w:val="28"/>
              </w:rPr>
              <w:t>单元编码</w:t>
            </w:r>
          </w:p>
        </w:tc>
        <w:tc>
          <w:tcPr>
            <w:tcW w:w="1368" w:type="dxa"/>
            <w:vAlign w:val="center"/>
          </w:tcPr>
          <w:p>
            <w:pPr>
              <w:spacing w:before="91" w:line="276" w:lineRule="auto"/>
              <w:ind w:left="141" w:right="121" w:hanging="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w:t>
            </w:r>
            <w:r>
              <w:rPr>
                <w:rFonts w:hint="eastAsia" w:ascii="仿宋_GB2312" w:hAnsi="仿宋_GB2312" w:eastAsia="仿宋_GB2312" w:cs="仿宋_GB2312"/>
                <w:spacing w:val="-6"/>
                <w:sz w:val="28"/>
                <w:szCs w:val="28"/>
              </w:rPr>
              <w:t>单元名称</w:t>
            </w:r>
          </w:p>
        </w:tc>
        <w:tc>
          <w:tcPr>
            <w:tcW w:w="780" w:type="dxa"/>
            <w:vAlign w:val="center"/>
          </w:tcPr>
          <w:p>
            <w:pPr>
              <w:spacing w:before="91" w:line="278" w:lineRule="auto"/>
              <w:ind w:left="147" w:right="107" w:hanging="21"/>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行政</w:t>
            </w:r>
            <w:r>
              <w:rPr>
                <w:rFonts w:hint="eastAsia" w:ascii="仿宋_GB2312" w:hAnsi="仿宋_GB2312" w:eastAsia="仿宋_GB2312" w:cs="仿宋_GB2312"/>
                <w:spacing w:val="-21"/>
                <w:sz w:val="28"/>
                <w:szCs w:val="28"/>
              </w:rPr>
              <w:t>区划</w:t>
            </w:r>
          </w:p>
        </w:tc>
        <w:tc>
          <w:tcPr>
            <w:tcW w:w="1039" w:type="dxa"/>
            <w:vAlign w:val="center"/>
          </w:tcPr>
          <w:p>
            <w:pPr>
              <w:spacing w:before="117" w:line="264" w:lineRule="auto"/>
              <w:ind w:left="257" w:right="237" w:firstLine="12"/>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管控</w:t>
            </w:r>
            <w:r>
              <w:rPr>
                <w:rFonts w:hint="eastAsia" w:ascii="仿宋_GB2312" w:hAnsi="仿宋_GB2312" w:eastAsia="仿宋_GB2312" w:cs="仿宋_GB2312"/>
                <w:spacing w:val="-11"/>
                <w:sz w:val="28"/>
                <w:szCs w:val="28"/>
              </w:rPr>
              <w:t>单元分类</w:t>
            </w:r>
          </w:p>
        </w:tc>
        <w:tc>
          <w:tcPr>
            <w:tcW w:w="1058" w:type="dxa"/>
            <w:vAlign w:val="center"/>
          </w:tcPr>
          <w:p>
            <w:pPr>
              <w:spacing w:before="91" w:line="221"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备注</w:t>
            </w:r>
          </w:p>
        </w:tc>
        <w:tc>
          <w:tcPr>
            <w:tcW w:w="2767" w:type="dxa"/>
            <w:vAlign w:val="center"/>
          </w:tcPr>
          <w:p>
            <w:pPr>
              <w:spacing w:before="91" w:line="21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空间布局约束</w:t>
            </w:r>
          </w:p>
        </w:tc>
        <w:tc>
          <w:tcPr>
            <w:tcW w:w="6631" w:type="dxa"/>
            <w:vAlign w:val="center"/>
          </w:tcPr>
          <w:p>
            <w:pPr>
              <w:spacing w:before="91" w:line="217"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污染物排放管控</w:t>
            </w:r>
          </w:p>
        </w:tc>
        <w:tc>
          <w:tcPr>
            <w:tcW w:w="2161" w:type="dxa"/>
            <w:vAlign w:val="center"/>
          </w:tcPr>
          <w:p>
            <w:pPr>
              <w:spacing w:before="91" w:line="219"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环境风险防控</w:t>
            </w:r>
          </w:p>
        </w:tc>
        <w:tc>
          <w:tcPr>
            <w:tcW w:w="3635" w:type="dxa"/>
            <w:vAlign w:val="center"/>
          </w:tcPr>
          <w:p>
            <w:pPr>
              <w:spacing w:before="91" w:line="219"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资源开发效率要求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88" w:type="dxa"/>
            <w:vAlign w:val="center"/>
          </w:tcPr>
          <w:p>
            <w:pPr>
              <w:spacing w:before="80" w:line="324" w:lineRule="auto"/>
              <w:ind w:left="396" w:right="140" w:hanging="254"/>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ZH120117</w:t>
            </w:r>
            <w:r>
              <w:rPr>
                <w:rFonts w:hint="eastAsia" w:ascii="仿宋_GB2312" w:hAnsi="仿宋_GB2312" w:eastAsia="仿宋_GB2312" w:cs="仿宋_GB2312"/>
                <w:spacing w:val="-1"/>
                <w:sz w:val="28"/>
                <w:szCs w:val="28"/>
              </w:rPr>
              <w:t>20003</w:t>
            </w:r>
          </w:p>
        </w:tc>
        <w:tc>
          <w:tcPr>
            <w:tcW w:w="1368" w:type="dxa"/>
            <w:vAlign w:val="center"/>
          </w:tcPr>
          <w:p>
            <w:pPr>
              <w:spacing w:before="91" w:line="283" w:lineRule="auto"/>
              <w:ind w:left="141" w:right="121" w:firstLine="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7"/>
                <w:sz w:val="28"/>
                <w:szCs w:val="28"/>
                <w:lang w:eastAsia="zh-CN"/>
              </w:rPr>
              <w:t>市级—宁</w:t>
            </w:r>
            <w:r>
              <w:rPr>
                <w:rFonts w:hint="eastAsia" w:ascii="仿宋_GB2312" w:hAnsi="仿宋_GB2312" w:eastAsia="仿宋_GB2312" w:cs="仿宋_GB2312"/>
                <w:spacing w:val="-6"/>
                <w:sz w:val="28"/>
                <w:szCs w:val="28"/>
                <w:lang w:eastAsia="zh-CN"/>
              </w:rPr>
              <w:t>河区天津市宁河现代产业区</w:t>
            </w:r>
          </w:p>
        </w:tc>
        <w:tc>
          <w:tcPr>
            <w:tcW w:w="780" w:type="dxa"/>
            <w:vAlign w:val="center"/>
          </w:tcPr>
          <w:p>
            <w:pPr>
              <w:spacing w:before="91" w:line="281" w:lineRule="auto"/>
              <w:ind w:left="287" w:right="107" w:hanging="15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宁河</w:t>
            </w:r>
            <w:r>
              <w:rPr>
                <w:rFonts w:hint="eastAsia" w:ascii="仿宋_GB2312" w:hAnsi="仿宋_GB2312" w:eastAsia="仿宋_GB2312" w:cs="仿宋_GB2312"/>
                <w:sz w:val="28"/>
                <w:szCs w:val="28"/>
              </w:rPr>
              <w:t>区</w:t>
            </w:r>
          </w:p>
        </w:tc>
        <w:tc>
          <w:tcPr>
            <w:tcW w:w="1039" w:type="dxa"/>
            <w:vAlign w:val="center"/>
          </w:tcPr>
          <w:p>
            <w:pPr>
              <w:spacing w:before="91" w:line="281" w:lineRule="auto"/>
              <w:ind w:right="237"/>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重点</w:t>
            </w:r>
            <w:r>
              <w:rPr>
                <w:rFonts w:hint="eastAsia" w:ascii="仿宋_GB2312" w:hAnsi="仿宋_GB2312" w:eastAsia="仿宋_GB2312" w:cs="仿宋_GB2312"/>
                <w:spacing w:val="-12"/>
                <w:sz w:val="28"/>
                <w:szCs w:val="28"/>
              </w:rPr>
              <w:t>管控单元</w:t>
            </w:r>
          </w:p>
        </w:tc>
        <w:tc>
          <w:tcPr>
            <w:tcW w:w="1058" w:type="dxa"/>
            <w:vAlign w:val="center"/>
          </w:tcPr>
          <w:p>
            <w:pPr>
              <w:spacing w:before="91" w:line="281" w:lineRule="auto"/>
              <w:ind w:right="107"/>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产业园</w:t>
            </w:r>
            <w:r>
              <w:rPr>
                <w:rFonts w:hint="eastAsia" w:ascii="仿宋_GB2312" w:hAnsi="仿宋_GB2312" w:eastAsia="仿宋_GB2312" w:cs="仿宋_GB2312"/>
                <w:sz w:val="28"/>
                <w:szCs w:val="28"/>
              </w:rPr>
              <w:t>区</w:t>
            </w:r>
          </w:p>
        </w:tc>
        <w:tc>
          <w:tcPr>
            <w:tcW w:w="2767" w:type="dxa"/>
          </w:tcPr>
          <w:p>
            <w:pPr>
              <w:spacing w:before="0" w:beforeLines="0" w:line="440" w:lineRule="exact"/>
              <w:ind w:right="9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0" w:beforeLines="0" w:line="440" w:lineRule="exact"/>
              <w:ind w:right="107"/>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2.产业区内招商引资应严格按照规划原则要求，对那些资源消耗量大、污染严重的项目应严格禁止入园。</w:t>
            </w:r>
          </w:p>
          <w:p>
            <w:pPr>
              <w:spacing w:before="0" w:beforeLines="0" w:line="440" w:lineRule="exact"/>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3.建议园区所有招商项目必须符合国家产业政策，防止已列入《产业结构调整指导目录(2019年本)》中的限制、淘汰类建设项目引进入区。</w:t>
            </w:r>
          </w:p>
        </w:tc>
        <w:tc>
          <w:tcPr>
            <w:tcW w:w="6631" w:type="dxa"/>
          </w:tcPr>
          <w:p>
            <w:pPr>
              <w:spacing w:before="0" w:beforeLines="0" w:line="440" w:lineRule="exact"/>
              <w:ind w:right="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0" w:beforeLines="0" w:line="440" w:lineRule="exact"/>
              <w:ind w:right="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2.根据国家排污许可相关管理制度，强化对雨水排放口管控，提出日常监管要求，全面推动排污单位“雨污分流”，严格监管通过雨水排放口偷排漏排污染物行为。</w:t>
            </w:r>
          </w:p>
          <w:p>
            <w:pPr>
              <w:spacing w:before="0" w:beforeLines="0" w:line="440" w:lineRule="exact"/>
              <w:ind w:right="9"/>
              <w:rPr>
                <w:rFonts w:hint="eastAsia" w:ascii="仿宋_GB2312" w:hAnsi="仿宋_GB2312" w:eastAsia="仿宋_GB2312" w:cs="仿宋_GB2312"/>
                <w:color w:val="00B050"/>
                <w:sz w:val="28"/>
                <w:szCs w:val="28"/>
                <w:lang w:eastAsia="zh-CN"/>
              </w:rPr>
            </w:pPr>
            <w:r>
              <w:rPr>
                <w:rFonts w:hint="eastAsia" w:ascii="仿宋_GB2312" w:hAnsi="仿宋_GB2312" w:eastAsia="仿宋_GB2312" w:cs="仿宋_GB2312"/>
                <w:spacing w:val="-4"/>
                <w:sz w:val="28"/>
                <w:szCs w:val="28"/>
                <w:lang w:eastAsia="zh-CN"/>
              </w:rPr>
              <w:t>3.</w:t>
            </w:r>
            <w:r>
              <w:rPr>
                <w:rFonts w:hint="eastAsia" w:ascii="仿宋_GB2312" w:hAnsi="仿宋_GB2312" w:eastAsia="仿宋_GB2312" w:cs="仿宋_GB2312"/>
                <w:color w:val="auto"/>
                <w:sz w:val="28"/>
                <w:szCs w:val="28"/>
                <w:lang w:eastAsia="zh-CN"/>
              </w:rPr>
              <w:t>推进工业园区水环境问题排查整治。全面调查评估工业废水收集、处理情况，对排查出的问题开展整治。加强工业企业、工业园区废水排放监管，确保工业废水稳定达标排放。</w:t>
            </w:r>
            <w:r>
              <w:rPr>
                <w:rFonts w:hint="eastAsia" w:ascii="仿宋_GB2312" w:hAnsi="仿宋_GB2312" w:eastAsia="仿宋_GB2312" w:cs="仿宋_GB2312"/>
                <w:color w:val="00B050"/>
                <w:sz w:val="28"/>
                <w:szCs w:val="28"/>
                <w:lang w:eastAsia="zh-CN"/>
              </w:rPr>
              <w:t>依据《天津市持续深入打好污染防治攻坚战三年行动方案》</w:t>
            </w:r>
          </w:p>
          <w:p>
            <w:pPr>
              <w:spacing w:before="0" w:beforeLines="0" w:line="440" w:lineRule="exact"/>
              <w:ind w:right="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4.资源消耗量大、污染严重的项目严格禁止入园。</w:t>
            </w:r>
          </w:p>
          <w:p>
            <w:pPr>
              <w:spacing w:before="0" w:beforeLines="0" w:line="440" w:lineRule="exact"/>
              <w:ind w:right="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5.禁止新建燃煤锅炉及工业炉窑，燃气锅炉进行低氮改造。</w:t>
            </w:r>
          </w:p>
          <w:p>
            <w:pPr>
              <w:spacing w:before="0" w:beforeLines="0" w:line="440" w:lineRule="exact"/>
              <w:ind w:right="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6.通过源头替代与末端改造同步，行业升级与园区监管结合，点源治理与面管控并重等方式，全面提升挥发性有机物污染防治水平。</w:t>
            </w:r>
          </w:p>
          <w:p>
            <w:pPr>
              <w:spacing w:before="0" w:beforeLines="0" w:line="440" w:lineRule="exact"/>
              <w:ind w:right="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7.严把建设项目生态环境准入关，现有及新建项目严格落实国家大气污染物特别排放限值要求。</w:t>
            </w:r>
          </w:p>
          <w:p>
            <w:pPr>
              <w:spacing w:before="0" w:beforeLines="0" w:line="440" w:lineRule="exact"/>
              <w:ind w:right="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8.完善重污染响应机制，持续细化企业“一厂一策”，保障应急减排措施可操作、可核查。</w:t>
            </w:r>
          </w:p>
          <w:p>
            <w:pPr>
              <w:spacing w:before="0" w:beforeLines="0" w:line="440" w:lineRule="exact"/>
              <w:ind w:right="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9.深化挥发性有机物污染防治。</w:t>
            </w:r>
          </w:p>
          <w:p>
            <w:pPr>
              <w:spacing w:before="44" w:line="287" w:lineRule="auto"/>
              <w:ind w:right="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color w:val="auto"/>
                <w:sz w:val="28"/>
                <w:szCs w:val="28"/>
                <w:lang w:eastAsia="zh-CN"/>
              </w:rPr>
              <w:t>10</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color w:val="auto"/>
                <w:sz w:val="28"/>
                <w:szCs w:val="28"/>
                <w:lang w:eastAsia="zh-CN"/>
              </w:rPr>
              <w:t>推进工业园区水环境问题排查整治。全面调查评估工业废水收集、处理情况，对排查出的问题开展整治。加强工业企业、工业园区废水排放监管，确保工业废水稳定达标排放。</w:t>
            </w:r>
            <w:r>
              <w:rPr>
                <w:rFonts w:hint="eastAsia" w:ascii="仿宋_GB2312" w:hAnsi="仿宋_GB2312" w:eastAsia="仿宋_GB2312" w:cs="仿宋_GB2312"/>
                <w:color w:val="00B050"/>
                <w:sz w:val="28"/>
                <w:szCs w:val="28"/>
                <w:lang w:eastAsia="zh-CN"/>
              </w:rPr>
              <w:t>依据《天津市持续深入打好污染防治攻坚战三年行动方案》</w:t>
            </w:r>
          </w:p>
        </w:tc>
        <w:tc>
          <w:tcPr>
            <w:tcW w:w="2161" w:type="dxa"/>
          </w:tcPr>
          <w:p>
            <w:pPr>
              <w:spacing w:before="0" w:beforeLines="0" w:line="440" w:lineRule="exact"/>
              <w:ind w:right="9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0" w:beforeLines="0" w:line="440" w:lineRule="exact"/>
              <w:ind w:right="103"/>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2.防范建设用地新增污染，强化空间布局管控。</w:t>
            </w:r>
          </w:p>
          <w:p>
            <w:pPr>
              <w:spacing w:before="0" w:beforeLines="0" w:line="440" w:lineRule="exact"/>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3.加强污染源监管，严控土壤重点行业企业污染，减少生活污染。</w:t>
            </w:r>
          </w:p>
          <w:p>
            <w:pPr>
              <w:spacing w:before="0" w:beforeLines="0" w:line="440" w:lineRule="exact"/>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4.危险废物实现综合利用、安全处置。</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3635" w:type="dxa"/>
          </w:tcPr>
          <w:p>
            <w:pPr>
              <w:spacing w:before="0" w:beforeLines="0" w:line="440" w:lineRule="exact"/>
              <w:ind w:right="9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0" w:beforeLines="0" w:line="440" w:lineRule="exact"/>
              <w:ind w:right="24"/>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2.提高产业区绿地率。调整优化规划用地布局，提高土地集约用地程度。</w:t>
            </w:r>
          </w:p>
          <w:p>
            <w:pPr>
              <w:spacing w:before="0" w:beforeLines="0" w:line="440" w:lineRule="exact"/>
              <w:ind w:right="108"/>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3.集约化利用土地，并调整相关用地布局规划，补充占用湿地和耕地的措施，确保保留更大面积湿地和耕地。</w:t>
            </w:r>
          </w:p>
          <w:p>
            <w:pPr>
              <w:spacing w:before="0" w:beforeLines="0" w:line="440" w:lineRule="exact"/>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4.优化能源结构和推广应用节能减排技术，不断提高天然气、太阳能、地热能等清洁能源比例。</w:t>
            </w:r>
          </w:p>
          <w:p>
            <w:pPr>
              <w:spacing w:before="0" w:beforeLines="0" w:line="440" w:lineRule="exact"/>
              <w:ind w:right="10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5.引导工业园区绿色化改造。推动产业园区实施循环化、节能低碳化改造，促进资源循环利用、能量梯级利用。</w:t>
            </w:r>
            <w:r>
              <w:rPr>
                <w:rFonts w:hint="eastAsia" w:ascii="仿宋_GB2312" w:hAnsi="仿宋_GB2312" w:eastAsia="仿宋_GB2312" w:cs="仿宋_GB2312"/>
                <w:color w:val="00B050"/>
                <w:sz w:val="28"/>
                <w:szCs w:val="28"/>
                <w:lang w:eastAsia="zh-CN"/>
              </w:rPr>
              <w:t>依据《天津市生态环境保护“十四五”规划》</w:t>
            </w:r>
          </w:p>
        </w:tc>
      </w:tr>
    </w:tbl>
    <w:p>
      <w:pPr>
        <w:spacing w:line="224" w:lineRule="exact"/>
        <w:rPr>
          <w:sz w:val="19"/>
          <w:lang w:eastAsia="zh-CN"/>
        </w:rPr>
      </w:pPr>
    </w:p>
    <w:p>
      <w:pPr>
        <w:spacing w:line="224" w:lineRule="exact"/>
        <w:rPr>
          <w:sz w:val="19"/>
          <w:szCs w:val="19"/>
          <w:lang w:eastAsia="zh-CN"/>
        </w:rPr>
        <w:sectPr>
          <w:footerReference r:id="rId6" w:type="default"/>
          <w:pgSz w:w="23811" w:h="16839"/>
          <w:pgMar w:top="1431" w:right="1438" w:bottom="1707" w:left="1440" w:header="0" w:footer="1456" w:gutter="0"/>
          <w:pgNumType w:fmt="decimal"/>
          <w:cols w:space="720" w:num="1"/>
        </w:sectPr>
      </w:pPr>
    </w:p>
    <w:p>
      <w:pPr>
        <w:spacing w:line="91" w:lineRule="auto"/>
        <w:rPr>
          <w:sz w:val="2"/>
          <w:lang w:eastAsia="zh-CN"/>
        </w:rPr>
      </w:pPr>
    </w:p>
    <w:p>
      <w:pPr>
        <w:rPr>
          <w:lang w:eastAsia="zh-CN"/>
        </w:rPr>
      </w:pPr>
    </w:p>
    <w:p>
      <w:pPr>
        <w:spacing w:before="121" w:line="219" w:lineRule="auto"/>
        <w:ind w:left="32"/>
        <w:outlineLvl w:val="0"/>
        <w:rPr>
          <w:rFonts w:ascii="Times New Roman" w:hAnsi="Times New Roman" w:eastAsia="黑体" w:cs="Times New Roman"/>
          <w:bCs/>
          <w:snapToGrid/>
          <w:color w:val="auto"/>
          <w:kern w:val="2"/>
          <w:sz w:val="28"/>
          <w:szCs w:val="32"/>
          <w:lang w:eastAsia="zh-CN"/>
        </w:rPr>
      </w:pPr>
      <w:bookmarkStart w:id="73" w:name="_Toc28254401"/>
      <w:bookmarkStart w:id="74" w:name="_Toc1148346024"/>
      <w:bookmarkStart w:id="75" w:name="_Toc477286904"/>
      <w:bookmarkStart w:id="76" w:name="_Toc131414207"/>
      <w:r>
        <w:rPr>
          <w:rFonts w:hint="default" w:ascii="Times New Roman" w:hAnsi="Times New Roman" w:eastAsia="黑体" w:cs="Times New Roman"/>
          <w:bCs/>
          <w:snapToGrid/>
          <w:color w:val="auto"/>
          <w:kern w:val="2"/>
          <w:sz w:val="28"/>
          <w:szCs w:val="32"/>
          <w:lang w:eastAsia="zh-CN"/>
        </w:rPr>
        <w:t>2.4</w:t>
      </w:r>
      <w:r>
        <w:rPr>
          <w:rFonts w:ascii="Times New Roman" w:hAnsi="Times New Roman" w:eastAsia="黑体" w:cs="Times New Roman"/>
          <w:bCs/>
          <w:snapToGrid/>
          <w:color w:val="auto"/>
          <w:kern w:val="2"/>
          <w:sz w:val="28"/>
          <w:szCs w:val="32"/>
          <w:lang w:eastAsia="zh-CN"/>
        </w:rPr>
        <w:t>宁河区未来科技城拓展区单元</w:t>
      </w:r>
      <w:r>
        <w:rPr>
          <w:rFonts w:hint="default" w:ascii="Times New Roman" w:hAnsi="Times New Roman" w:eastAsia="黑体" w:cs="Times New Roman"/>
          <w:bCs/>
          <w:snapToGrid/>
          <w:color w:val="auto"/>
          <w:kern w:val="2"/>
          <w:sz w:val="28"/>
          <w:szCs w:val="32"/>
          <w:lang w:eastAsia="zh-CN"/>
        </w:rPr>
        <w:t>管控要求</w:t>
      </w:r>
      <w:bookmarkEnd w:id="73"/>
      <w:bookmarkEnd w:id="74"/>
      <w:bookmarkEnd w:id="75"/>
      <w:bookmarkEnd w:id="76"/>
    </w:p>
    <w:p>
      <w:pPr>
        <w:spacing w:line="220" w:lineRule="exact"/>
        <w:rPr>
          <w:lang w:eastAsia="zh-CN"/>
        </w:rPr>
      </w:pPr>
    </w:p>
    <w:tbl>
      <w:tblPr>
        <w:tblStyle w:val="16"/>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413"/>
        <w:gridCol w:w="996"/>
        <w:gridCol w:w="1135"/>
        <w:gridCol w:w="991"/>
        <w:gridCol w:w="2262"/>
        <w:gridCol w:w="5103"/>
        <w:gridCol w:w="3830"/>
        <w:gridCol w:w="3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562" w:type="dxa"/>
            <w:vAlign w:val="center"/>
          </w:tcPr>
          <w:p>
            <w:pPr>
              <w:spacing w:before="115" w:line="251" w:lineRule="auto"/>
              <w:ind w:left="241" w:right="215" w:hanging="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w:t>
            </w:r>
            <w:r>
              <w:rPr>
                <w:rFonts w:hint="eastAsia" w:ascii="仿宋_GB2312" w:hAnsi="仿宋_GB2312" w:eastAsia="仿宋_GB2312" w:cs="仿宋_GB2312"/>
                <w:spacing w:val="-6"/>
                <w:sz w:val="28"/>
                <w:szCs w:val="28"/>
              </w:rPr>
              <w:t>单元编码</w:t>
            </w:r>
          </w:p>
        </w:tc>
        <w:tc>
          <w:tcPr>
            <w:tcW w:w="1413" w:type="dxa"/>
            <w:vAlign w:val="center"/>
          </w:tcPr>
          <w:p>
            <w:pPr>
              <w:spacing w:before="115" w:line="251" w:lineRule="auto"/>
              <w:ind w:left="165" w:right="142" w:hanging="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w:t>
            </w:r>
            <w:r>
              <w:rPr>
                <w:rFonts w:hint="eastAsia" w:ascii="仿宋_GB2312" w:hAnsi="仿宋_GB2312" w:eastAsia="仿宋_GB2312" w:cs="仿宋_GB2312"/>
                <w:spacing w:val="-6"/>
                <w:sz w:val="28"/>
                <w:szCs w:val="28"/>
              </w:rPr>
              <w:t>单元名称</w:t>
            </w:r>
          </w:p>
        </w:tc>
        <w:tc>
          <w:tcPr>
            <w:tcW w:w="996" w:type="dxa"/>
            <w:vAlign w:val="center"/>
          </w:tcPr>
          <w:p>
            <w:pPr>
              <w:spacing w:before="115" w:line="251" w:lineRule="auto"/>
              <w:ind w:left="256" w:right="214" w:hanging="21"/>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行政</w:t>
            </w:r>
            <w:r>
              <w:rPr>
                <w:rFonts w:hint="eastAsia" w:ascii="仿宋_GB2312" w:hAnsi="仿宋_GB2312" w:eastAsia="仿宋_GB2312" w:cs="仿宋_GB2312"/>
                <w:spacing w:val="-21"/>
                <w:sz w:val="28"/>
                <w:szCs w:val="28"/>
              </w:rPr>
              <w:t>区划</w:t>
            </w:r>
          </w:p>
        </w:tc>
        <w:tc>
          <w:tcPr>
            <w:tcW w:w="1135" w:type="dxa"/>
            <w:vAlign w:val="center"/>
          </w:tcPr>
          <w:p>
            <w:pPr>
              <w:spacing w:before="115" w:line="251" w:lineRule="auto"/>
              <w:ind w:left="165" w:right="144" w:firstLine="1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管控单</w:t>
            </w:r>
            <w:r>
              <w:rPr>
                <w:rFonts w:hint="eastAsia" w:ascii="仿宋_GB2312" w:hAnsi="仿宋_GB2312" w:eastAsia="仿宋_GB2312" w:cs="仿宋_GB2312"/>
                <w:spacing w:val="-7"/>
                <w:sz w:val="28"/>
                <w:szCs w:val="28"/>
              </w:rPr>
              <w:t>元分类</w:t>
            </w:r>
          </w:p>
        </w:tc>
        <w:tc>
          <w:tcPr>
            <w:tcW w:w="991" w:type="dxa"/>
            <w:vAlign w:val="center"/>
          </w:tcPr>
          <w:p>
            <w:pPr>
              <w:spacing w:before="91" w:line="221" w:lineRule="auto"/>
              <w:ind w:left="23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备注</w:t>
            </w:r>
          </w:p>
        </w:tc>
        <w:tc>
          <w:tcPr>
            <w:tcW w:w="2262" w:type="dxa"/>
            <w:vAlign w:val="center"/>
          </w:tcPr>
          <w:p>
            <w:pPr>
              <w:spacing w:before="91" w:line="21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空间布局约束</w:t>
            </w:r>
          </w:p>
        </w:tc>
        <w:tc>
          <w:tcPr>
            <w:tcW w:w="5103" w:type="dxa"/>
            <w:vAlign w:val="center"/>
          </w:tcPr>
          <w:p>
            <w:pPr>
              <w:spacing w:before="91" w:line="217"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污染物排放管控</w:t>
            </w:r>
          </w:p>
        </w:tc>
        <w:tc>
          <w:tcPr>
            <w:tcW w:w="3830" w:type="dxa"/>
            <w:vAlign w:val="center"/>
          </w:tcPr>
          <w:p>
            <w:pPr>
              <w:spacing w:before="115" w:line="251" w:lineRule="auto"/>
              <w:ind w:left="798" w:right="214" w:hanging="56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环境风险防</w:t>
            </w:r>
            <w:r>
              <w:rPr>
                <w:rFonts w:hint="eastAsia" w:ascii="仿宋_GB2312" w:hAnsi="仿宋_GB2312" w:eastAsia="仿宋_GB2312" w:cs="仿宋_GB2312"/>
                <w:sz w:val="28"/>
                <w:szCs w:val="28"/>
              </w:rPr>
              <w:t>控</w:t>
            </w:r>
          </w:p>
        </w:tc>
        <w:tc>
          <w:tcPr>
            <w:tcW w:w="3635" w:type="dxa"/>
            <w:vAlign w:val="center"/>
          </w:tcPr>
          <w:p>
            <w:pPr>
              <w:spacing w:before="91"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资源开发效率要求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6" w:hRule="atLeast"/>
        </w:trPr>
        <w:tc>
          <w:tcPr>
            <w:tcW w:w="1562" w:type="dxa"/>
            <w:vAlign w:val="center"/>
          </w:tcPr>
          <w:p>
            <w:pPr>
              <w:spacing w:before="81" w:line="324" w:lineRule="auto"/>
              <w:ind w:left="432" w:right="172" w:hanging="259"/>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ZH12022120004</w:t>
            </w:r>
          </w:p>
        </w:tc>
        <w:tc>
          <w:tcPr>
            <w:tcW w:w="1413" w:type="dxa"/>
            <w:vAlign w:val="center"/>
          </w:tcPr>
          <w:p>
            <w:pPr>
              <w:spacing w:before="91" w:line="219"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6"/>
                <w:sz w:val="28"/>
                <w:szCs w:val="28"/>
                <w:lang w:eastAsia="zh-CN"/>
              </w:rPr>
              <w:t>市级—宁</w:t>
            </w:r>
          </w:p>
          <w:p>
            <w:pPr>
              <w:spacing w:before="109" w:line="218" w:lineRule="auto"/>
              <w:ind w:left="168"/>
              <w:jc w:val="center"/>
              <w:rPr>
                <w:rFonts w:hint="eastAsia" w:ascii="仿宋_GB2312" w:hAnsi="仿宋_GB2312" w:eastAsia="仿宋_GB2312" w:cs="仿宋_GB2312"/>
                <w:sz w:val="28"/>
                <w:szCs w:val="28"/>
                <w:lang w:eastAsia="zh-CN"/>
              </w:rPr>
            </w:pPr>
            <w:bookmarkStart w:id="77" w:name="bookmark7"/>
            <w:bookmarkEnd w:id="77"/>
            <w:r>
              <w:rPr>
                <w:rFonts w:hint="eastAsia" w:ascii="仿宋_GB2312" w:hAnsi="仿宋_GB2312" w:eastAsia="仿宋_GB2312" w:cs="仿宋_GB2312"/>
                <w:spacing w:val="-5"/>
                <w:sz w:val="28"/>
                <w:szCs w:val="28"/>
                <w:lang w:eastAsia="zh-CN"/>
              </w:rPr>
              <w:t>河区未来</w:t>
            </w:r>
          </w:p>
          <w:p>
            <w:pPr>
              <w:spacing w:before="108" w:line="219" w:lineRule="auto"/>
              <w:ind w:left="16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科技城拓</w:t>
            </w:r>
          </w:p>
          <w:p>
            <w:pPr>
              <w:spacing w:before="107" w:line="221" w:lineRule="auto"/>
              <w:ind w:left="44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rPr>
              <w:t>展区</w:t>
            </w:r>
          </w:p>
        </w:tc>
        <w:tc>
          <w:tcPr>
            <w:tcW w:w="996" w:type="dxa"/>
            <w:vAlign w:val="center"/>
          </w:tcPr>
          <w:p>
            <w:pPr>
              <w:spacing w:before="91" w:line="281" w:lineRule="auto"/>
              <w:ind w:left="246" w:right="21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宁河区</w:t>
            </w:r>
          </w:p>
        </w:tc>
        <w:tc>
          <w:tcPr>
            <w:tcW w:w="1135" w:type="dxa"/>
            <w:vAlign w:val="center"/>
          </w:tcPr>
          <w:p>
            <w:pPr>
              <w:spacing w:before="91" w:line="275" w:lineRule="auto"/>
              <w:ind w:right="14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rPr>
              <w:t>重点管</w:t>
            </w:r>
            <w:r>
              <w:rPr>
                <w:rFonts w:hint="eastAsia" w:ascii="仿宋_GB2312" w:hAnsi="仿宋_GB2312" w:eastAsia="仿宋_GB2312" w:cs="仿宋_GB2312"/>
                <w:spacing w:val="-6"/>
                <w:sz w:val="28"/>
                <w:szCs w:val="28"/>
              </w:rPr>
              <w:t>控单元</w:t>
            </w:r>
          </w:p>
        </w:tc>
        <w:tc>
          <w:tcPr>
            <w:tcW w:w="991" w:type="dxa"/>
            <w:vAlign w:val="center"/>
          </w:tcPr>
          <w:p>
            <w:pPr>
              <w:spacing w:before="91" w:line="276" w:lineRule="auto"/>
              <w:ind w:right="21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产业园区</w:t>
            </w:r>
          </w:p>
        </w:tc>
        <w:tc>
          <w:tcPr>
            <w:tcW w:w="2262" w:type="dxa"/>
          </w:tcPr>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2.产业区内招商引资应严格按照规划原则要求，严禁发展能源、资源消耗量过大、污染严重、可能对区域环境和其它产业造成恶劣影响以及景观不协调的产业。</w:t>
            </w:r>
          </w:p>
          <w:p>
            <w:pPr>
              <w:spacing w:before="43" w:line="286" w:lineRule="auto"/>
              <w:ind w:right="43"/>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3.严格执行国家产业政策。按照国家最新《产业结构调整指导目录》和相关调整内容，其中“淘汰类”、“限制类”项目一律不得入区。</w:t>
            </w:r>
          </w:p>
        </w:tc>
        <w:tc>
          <w:tcPr>
            <w:tcW w:w="5103" w:type="dxa"/>
          </w:tcPr>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17" w:lineRule="auto"/>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大气污染物管控要求：禁止建设不能满足国家及地方最新污染物排放标准、不能满足防护距离要求的项目。严控无组织排放，除了特殊工艺条件外，原则上禁止无组织排放；严控有异味产生的项目入区；严控颗粒物和VOCs排放，必须采取有效的收集治理措施；禁止故意稀释排放。</w:t>
            </w:r>
          </w:p>
          <w:p>
            <w:pPr>
              <w:spacing w:before="43" w:line="217" w:lineRule="auto"/>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水污染物管控要求：禁止建设不能满足国家及地方最新污染物排放标准的项目。重点控制难降解有机物等非常规污染物；区域污水处理厂出水关注总氮、总磷、氨氮的达标排放；加强对研发实验室废水、废液处理处置的管理；禁止故意稀释排放。</w:t>
            </w:r>
          </w:p>
          <w:p>
            <w:pPr>
              <w:spacing w:before="113" w:line="284" w:lineRule="auto"/>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4.总量管控要求：不符合国家和地方大气污染物、水污染物总量控制要求的项目禁止入区。</w:t>
            </w:r>
          </w:p>
          <w:p>
            <w:pPr>
              <w:spacing w:before="113" w:line="284" w:lineRule="auto"/>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5.</w:t>
            </w:r>
            <w:r>
              <w:rPr>
                <w:rFonts w:hint="eastAsia" w:ascii="仿宋_GB2312" w:hAnsi="仿宋_GB2312" w:eastAsia="仿宋_GB2312" w:cs="仿宋_GB2312"/>
                <w:color w:val="auto"/>
                <w:sz w:val="28"/>
                <w:szCs w:val="28"/>
                <w:lang w:eastAsia="zh-CN"/>
              </w:rPr>
              <w:t>推进工业园区水环境问题排查整治。全面调查评估工业废水收集、处理情况，对排查出的问题开展整治。加强工业企业、工业园区废水排放监管，确保工业废水稳定达标排放。</w:t>
            </w:r>
            <w:r>
              <w:rPr>
                <w:rFonts w:hint="eastAsia" w:ascii="仿宋_GB2312" w:hAnsi="仿宋_GB2312" w:eastAsia="仿宋_GB2312" w:cs="仿宋_GB2312"/>
                <w:color w:val="00B050"/>
                <w:sz w:val="28"/>
                <w:szCs w:val="28"/>
                <w:lang w:eastAsia="zh-CN"/>
              </w:rPr>
              <w:t>依据《天津市持续深入打好污染防治攻坚战三年行动方案》</w:t>
            </w:r>
          </w:p>
        </w:tc>
        <w:tc>
          <w:tcPr>
            <w:tcW w:w="3830" w:type="dxa"/>
          </w:tcPr>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85" w:lineRule="auto"/>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2.防范建设用地新增污染，强化空间布局管控。</w:t>
            </w:r>
          </w:p>
          <w:p>
            <w:pPr>
              <w:spacing w:before="45" w:line="284" w:lineRule="auto"/>
              <w:ind w:right="10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3.加强污染源监管，严控土壤重点行业企业污染，减少生活污染。</w:t>
            </w:r>
          </w:p>
          <w:p>
            <w:pPr>
              <w:spacing w:before="45" w:line="284" w:lineRule="auto"/>
              <w:ind w:right="102"/>
              <w:rPr>
                <w:rFonts w:hint="eastAsia" w:ascii="仿宋_GB2312" w:hAnsi="仿宋_GB2312" w:eastAsia="仿宋_GB2312" w:cs="仿宋_GB2312"/>
                <w:spacing w:val="-4"/>
                <w:sz w:val="28"/>
                <w:szCs w:val="28"/>
                <w:lang w:eastAsia="zh-CN"/>
              </w:rPr>
            </w:pPr>
          </w:p>
        </w:tc>
        <w:tc>
          <w:tcPr>
            <w:tcW w:w="3635" w:type="dxa"/>
          </w:tcPr>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38" w:line="271" w:lineRule="auto"/>
              <w:ind w:right="11"/>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2.推广太阳能、地热能等可再生能源的使用，以太阳能、地热能作为照明、采暖、制冷的能源。</w:t>
            </w:r>
          </w:p>
          <w:p>
            <w:pPr>
              <w:spacing w:before="38" w:line="271" w:lineRule="auto"/>
              <w:ind w:right="11"/>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3.引导工业园区绿色化改造。推动产业园区实施循环化、节能低碳化改造，促进资源循环利用、能量梯级利用。</w:t>
            </w:r>
            <w:r>
              <w:rPr>
                <w:rFonts w:hint="eastAsia" w:ascii="仿宋_GB2312" w:hAnsi="仿宋_GB2312" w:eastAsia="仿宋_GB2312" w:cs="仿宋_GB2312"/>
                <w:color w:val="00B050"/>
                <w:sz w:val="28"/>
                <w:szCs w:val="28"/>
                <w:lang w:eastAsia="zh-CN"/>
              </w:rPr>
              <w:t>依据《天津市生态环境保护“十四五”规划》</w:t>
            </w:r>
          </w:p>
        </w:tc>
      </w:tr>
    </w:tbl>
    <w:p>
      <w:pPr>
        <w:pStyle w:val="3"/>
        <w:spacing w:before="266" w:line="219" w:lineRule="auto"/>
        <w:ind w:left="32"/>
        <w:rPr>
          <w:rFonts w:hint="eastAsia" w:ascii="黑体" w:hAnsi="黑体" w:eastAsia="黑体" w:cs="黑体"/>
          <w:spacing w:val="-2"/>
          <w:lang w:eastAsia="zh-CN"/>
        </w:rPr>
      </w:pPr>
      <w:bookmarkStart w:id="78" w:name="bookmark8"/>
      <w:bookmarkEnd w:id="78"/>
    </w:p>
    <w:p>
      <w:pPr>
        <w:pStyle w:val="3"/>
        <w:spacing w:before="266" w:line="219" w:lineRule="auto"/>
        <w:ind w:left="32"/>
        <w:rPr>
          <w:rFonts w:hint="eastAsia" w:ascii="黑体" w:hAnsi="黑体" w:eastAsia="黑体" w:cs="黑体"/>
          <w:spacing w:val="-2"/>
          <w:lang w:eastAsia="zh-CN"/>
        </w:rPr>
      </w:pPr>
    </w:p>
    <w:p>
      <w:pPr>
        <w:pStyle w:val="3"/>
        <w:spacing w:before="266" w:line="219" w:lineRule="auto"/>
        <w:ind w:left="32"/>
        <w:rPr>
          <w:rFonts w:hint="eastAsia" w:ascii="黑体" w:hAnsi="黑体" w:eastAsia="黑体" w:cs="黑体"/>
          <w:spacing w:val="-2"/>
          <w:lang w:eastAsia="zh-CN"/>
        </w:rPr>
      </w:pPr>
    </w:p>
    <w:p>
      <w:pPr>
        <w:pageBreakBefore/>
        <w:spacing w:before="266" w:line="219" w:lineRule="auto"/>
        <w:ind w:left="32"/>
        <w:outlineLvl w:val="0"/>
        <w:rPr>
          <w:rFonts w:ascii="Times New Roman" w:hAnsi="Times New Roman" w:eastAsia="黑体" w:cs="Times New Roman"/>
          <w:bCs/>
          <w:snapToGrid/>
          <w:color w:val="auto"/>
          <w:kern w:val="2"/>
          <w:sz w:val="28"/>
          <w:szCs w:val="32"/>
          <w:lang w:eastAsia="zh-CN"/>
        </w:rPr>
      </w:pPr>
      <w:bookmarkStart w:id="79" w:name="_Toc1678461902"/>
      <w:bookmarkStart w:id="80" w:name="_Toc934085024"/>
      <w:bookmarkStart w:id="81" w:name="_Toc758057048"/>
      <w:r>
        <w:rPr>
          <w:rFonts w:hint="default" w:ascii="Times New Roman" w:hAnsi="Times New Roman" w:eastAsia="黑体" w:cs="Times New Roman"/>
          <w:bCs/>
          <w:snapToGrid/>
          <w:color w:val="auto"/>
          <w:kern w:val="2"/>
          <w:sz w:val="28"/>
          <w:szCs w:val="32"/>
          <w:lang w:eastAsia="zh-CN"/>
        </w:rPr>
        <w:t>2.5</w:t>
      </w:r>
      <w:r>
        <w:rPr>
          <w:rFonts w:ascii="Times New Roman" w:hAnsi="Times New Roman" w:eastAsia="黑体" w:cs="Times New Roman"/>
          <w:bCs/>
          <w:snapToGrid/>
          <w:color w:val="auto"/>
          <w:kern w:val="2"/>
          <w:sz w:val="28"/>
          <w:szCs w:val="32"/>
          <w:lang w:eastAsia="zh-CN"/>
        </w:rPr>
        <w:t>宁河区区级产业园区</w:t>
      </w:r>
      <w:r>
        <w:rPr>
          <w:rFonts w:hint="default" w:ascii="Times New Roman" w:hAnsi="Times New Roman" w:eastAsia="黑体" w:cs="Times New Roman"/>
          <w:bCs/>
          <w:snapToGrid/>
          <w:color w:val="auto"/>
          <w:kern w:val="2"/>
          <w:sz w:val="28"/>
          <w:szCs w:val="32"/>
          <w:lang w:eastAsia="zh-CN"/>
        </w:rPr>
        <w:t>管控要求</w:t>
      </w:r>
      <w:bookmarkEnd w:id="79"/>
      <w:bookmarkEnd w:id="80"/>
      <w:bookmarkEnd w:id="81"/>
    </w:p>
    <w:p>
      <w:pPr>
        <w:spacing w:line="221" w:lineRule="exact"/>
        <w:rPr>
          <w:lang w:eastAsia="zh-CN"/>
        </w:rPr>
      </w:pPr>
    </w:p>
    <w:tbl>
      <w:tblPr>
        <w:tblStyle w:val="16"/>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7"/>
        <w:gridCol w:w="1412"/>
        <w:gridCol w:w="1418"/>
        <w:gridCol w:w="1417"/>
        <w:gridCol w:w="1276"/>
        <w:gridCol w:w="4678"/>
        <w:gridCol w:w="3260"/>
        <w:gridCol w:w="2268"/>
        <w:gridCol w:w="3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2127" w:type="dxa"/>
            <w:vAlign w:val="center"/>
          </w:tcPr>
          <w:p>
            <w:pPr>
              <w:spacing w:before="116" w:line="251" w:lineRule="auto"/>
              <w:ind w:left="800" w:right="219" w:hanging="561"/>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环境管控单元</w:t>
            </w:r>
            <w:r>
              <w:rPr>
                <w:rFonts w:hint="eastAsia" w:ascii="仿宋_GB2312" w:hAnsi="仿宋_GB2312" w:eastAsia="仿宋_GB2312" w:cs="仿宋_GB2312"/>
                <w:spacing w:val="-5"/>
                <w:sz w:val="28"/>
                <w:szCs w:val="28"/>
              </w:rPr>
              <w:t>编码</w:t>
            </w:r>
          </w:p>
        </w:tc>
        <w:tc>
          <w:tcPr>
            <w:tcW w:w="1412" w:type="dxa"/>
            <w:vAlign w:val="center"/>
          </w:tcPr>
          <w:p>
            <w:pPr>
              <w:spacing w:before="91" w:line="217" w:lineRule="auto"/>
              <w:ind w:left="31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环境管控单元名称</w:t>
            </w:r>
          </w:p>
        </w:tc>
        <w:tc>
          <w:tcPr>
            <w:tcW w:w="1418" w:type="dxa"/>
            <w:vAlign w:val="center"/>
          </w:tcPr>
          <w:p>
            <w:pPr>
              <w:spacing w:before="116" w:line="251" w:lineRule="auto"/>
              <w:ind w:left="511" w:right="213" w:hanging="27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行政区</w:t>
            </w:r>
            <w:r>
              <w:rPr>
                <w:rFonts w:hint="eastAsia" w:ascii="仿宋_GB2312" w:hAnsi="仿宋_GB2312" w:eastAsia="仿宋_GB2312" w:cs="仿宋_GB2312"/>
                <w:sz w:val="28"/>
                <w:szCs w:val="28"/>
              </w:rPr>
              <w:t>划</w:t>
            </w:r>
          </w:p>
        </w:tc>
        <w:tc>
          <w:tcPr>
            <w:tcW w:w="1417" w:type="dxa"/>
            <w:vAlign w:val="center"/>
          </w:tcPr>
          <w:p>
            <w:pPr>
              <w:spacing w:before="116" w:line="251" w:lineRule="auto"/>
              <w:ind w:left="237" w:right="215" w:firstLine="1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管控单</w:t>
            </w:r>
            <w:r>
              <w:rPr>
                <w:rFonts w:hint="eastAsia" w:ascii="仿宋_GB2312" w:hAnsi="仿宋_GB2312" w:eastAsia="仿宋_GB2312" w:cs="仿宋_GB2312"/>
                <w:spacing w:val="-7"/>
                <w:sz w:val="28"/>
                <w:szCs w:val="28"/>
              </w:rPr>
              <w:t>元分类</w:t>
            </w:r>
          </w:p>
        </w:tc>
        <w:tc>
          <w:tcPr>
            <w:tcW w:w="1276" w:type="dxa"/>
            <w:vAlign w:val="center"/>
          </w:tcPr>
          <w:p>
            <w:pPr>
              <w:spacing w:before="91" w:line="221" w:lineRule="auto"/>
              <w:ind w:left="446"/>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备注</w:t>
            </w:r>
          </w:p>
        </w:tc>
        <w:tc>
          <w:tcPr>
            <w:tcW w:w="4678" w:type="dxa"/>
            <w:vAlign w:val="center"/>
          </w:tcPr>
          <w:p>
            <w:pPr>
              <w:spacing w:before="91" w:line="216"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空间布局约束</w:t>
            </w:r>
          </w:p>
        </w:tc>
        <w:tc>
          <w:tcPr>
            <w:tcW w:w="3260" w:type="dxa"/>
            <w:vAlign w:val="center"/>
          </w:tcPr>
          <w:p>
            <w:pPr>
              <w:spacing w:before="91" w:line="217"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污染物排放管控</w:t>
            </w:r>
          </w:p>
        </w:tc>
        <w:tc>
          <w:tcPr>
            <w:tcW w:w="2268" w:type="dxa"/>
            <w:vAlign w:val="center"/>
          </w:tcPr>
          <w:p>
            <w:pPr>
              <w:spacing w:before="91" w:line="219" w:lineRule="auto"/>
              <w:ind w:left="664"/>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环境风险防控</w:t>
            </w:r>
          </w:p>
        </w:tc>
        <w:tc>
          <w:tcPr>
            <w:tcW w:w="3071" w:type="dxa"/>
            <w:vAlign w:val="center"/>
          </w:tcPr>
          <w:p>
            <w:pPr>
              <w:spacing w:before="91"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资源开发效率要求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2127" w:type="dxa"/>
            <w:vAlign w:val="center"/>
          </w:tcPr>
          <w:p>
            <w:pPr>
              <w:spacing w:before="161" w:line="189" w:lineRule="auto"/>
              <w:ind w:left="11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ZH12011720005</w:t>
            </w:r>
          </w:p>
        </w:tc>
        <w:tc>
          <w:tcPr>
            <w:tcW w:w="1412" w:type="dxa"/>
            <w:vAlign w:val="center"/>
          </w:tcPr>
          <w:p>
            <w:pPr>
              <w:spacing w:before="115" w:line="264" w:lineRule="auto"/>
              <w:ind w:left="144" w:right="107" w:hanging="1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7"/>
                <w:sz w:val="28"/>
                <w:szCs w:val="28"/>
                <w:lang w:eastAsia="zh-CN"/>
              </w:rPr>
              <w:t>宁河区七里海工业园</w:t>
            </w:r>
            <w:r>
              <w:rPr>
                <w:rFonts w:hint="eastAsia" w:ascii="仿宋_GB2312" w:hAnsi="仿宋_GB2312" w:eastAsia="仿宋_GB2312" w:cs="仿宋_GB2312"/>
                <w:spacing w:val="13"/>
                <w:sz w:val="28"/>
                <w:szCs w:val="28"/>
                <w:lang w:eastAsia="zh-CN"/>
              </w:rPr>
              <w:t>区</w:t>
            </w:r>
          </w:p>
        </w:tc>
        <w:tc>
          <w:tcPr>
            <w:tcW w:w="1418" w:type="dxa"/>
            <w:vAlign w:val="center"/>
          </w:tcPr>
          <w:p>
            <w:pPr>
              <w:spacing w:before="91" w:line="219" w:lineRule="auto"/>
              <w:ind w:left="24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宁河区</w:t>
            </w:r>
          </w:p>
        </w:tc>
        <w:tc>
          <w:tcPr>
            <w:tcW w:w="1417" w:type="dxa"/>
            <w:vAlign w:val="center"/>
          </w:tcPr>
          <w:p>
            <w:pPr>
              <w:spacing w:before="91" w:line="275" w:lineRule="auto"/>
              <w:ind w:left="233" w:right="215" w:firstLine="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rPr>
              <w:t>重点管</w:t>
            </w:r>
            <w:r>
              <w:rPr>
                <w:rFonts w:hint="eastAsia" w:ascii="仿宋_GB2312" w:hAnsi="仿宋_GB2312" w:eastAsia="仿宋_GB2312" w:cs="仿宋_GB2312"/>
                <w:spacing w:val="-6"/>
                <w:sz w:val="28"/>
                <w:szCs w:val="28"/>
              </w:rPr>
              <w:t>控单元</w:t>
            </w:r>
          </w:p>
        </w:tc>
        <w:tc>
          <w:tcPr>
            <w:tcW w:w="1276" w:type="dxa"/>
            <w:vAlign w:val="center"/>
          </w:tcPr>
          <w:p>
            <w:pPr>
              <w:spacing w:before="91" w:line="219" w:lineRule="auto"/>
              <w:ind w:left="165"/>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rPr>
              <w:t>产业园区</w:t>
            </w:r>
          </w:p>
        </w:tc>
        <w:tc>
          <w:tcPr>
            <w:tcW w:w="4678" w:type="dxa"/>
          </w:tcPr>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115" w:line="264" w:lineRule="auto"/>
              <w:ind w:right="103"/>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逐步引导现状企业搬迁腾退，优先腾退二级水源保护区、生态廊道等生态空间内的工业用地。通过土地节约集约利用评价，对“三高一低”(高耗能、高污染、高危险、低效益)工业用地进行减量，减量化后的土地根据水土质量情况恢复为生态用地或耕地。原则上,不允许工业企业新建扩建，鼓励园区在减量调整区内试点城镇建设用地增减挂钩、集体经营性用地入市等相关政策，加快现状工业用地腾退。</w:t>
            </w:r>
            <w:r>
              <w:rPr>
                <w:rFonts w:hint="eastAsia" w:ascii="仿宋_GB2312" w:hAnsi="仿宋_GB2312" w:eastAsia="仿宋_GB2312" w:cs="仿宋_GB2312"/>
                <w:color w:val="00B050"/>
                <w:sz w:val="28"/>
                <w:szCs w:val="28"/>
                <w:lang w:eastAsia="zh-CN"/>
              </w:rPr>
              <w:t>依据《（天津市工业布局规划（2022-2035年）》</w:t>
            </w:r>
          </w:p>
        </w:tc>
        <w:tc>
          <w:tcPr>
            <w:tcW w:w="3260" w:type="dxa"/>
          </w:tcPr>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17"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color w:val="auto"/>
                <w:sz w:val="28"/>
                <w:szCs w:val="28"/>
                <w:lang w:eastAsia="zh-CN"/>
              </w:rPr>
              <w:t>推进工业园区水环境问题排查整治。全面调查评估工业废水收集、处理情况，对排查出的问题开展整治。加强工业企业、工业园区废水排放监管，确保工业废水稳定达标排放。</w:t>
            </w:r>
            <w:r>
              <w:rPr>
                <w:rFonts w:hint="eastAsia" w:ascii="仿宋_GB2312" w:hAnsi="仿宋_GB2312" w:eastAsia="仿宋_GB2312" w:cs="仿宋_GB2312"/>
                <w:color w:val="00B050"/>
                <w:sz w:val="28"/>
                <w:szCs w:val="28"/>
                <w:lang w:eastAsia="zh-CN"/>
              </w:rPr>
              <w:t>依据《天津市持续深入打好污染防治攻坚战三年行动方案》</w:t>
            </w:r>
          </w:p>
        </w:tc>
        <w:tc>
          <w:tcPr>
            <w:tcW w:w="2268" w:type="dxa"/>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tc>
        <w:tc>
          <w:tcPr>
            <w:tcW w:w="3071" w:type="dxa"/>
          </w:tcPr>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rPr>
                <w:rFonts w:hint="eastAsia" w:ascii="仿宋_GB2312" w:hAnsi="仿宋_GB2312" w:eastAsia="仿宋_GB2312" w:cs="仿宋_GB2312"/>
                <w:color w:val="00B050"/>
                <w:spacing w:val="-4"/>
                <w:sz w:val="28"/>
                <w:szCs w:val="28"/>
                <w:lang w:eastAsia="zh-CN"/>
              </w:rPr>
            </w:pPr>
            <w:r>
              <w:rPr>
                <w:rFonts w:hint="eastAsia" w:ascii="仿宋_GB2312" w:hAnsi="仿宋_GB2312" w:eastAsia="仿宋_GB2312" w:cs="仿宋_GB2312"/>
                <w:spacing w:val="-4"/>
                <w:sz w:val="28"/>
                <w:szCs w:val="28"/>
                <w:lang w:eastAsia="zh-CN"/>
              </w:rPr>
              <w:t>2.引导工业园区绿色化改造。推动产业园区实施循环化、节能低碳化改造，促进资源循环利用、能量梯级利用。</w:t>
            </w:r>
            <w:r>
              <w:rPr>
                <w:rFonts w:hint="eastAsia" w:ascii="仿宋_GB2312" w:hAnsi="仿宋_GB2312" w:eastAsia="仿宋_GB2312" w:cs="仿宋_GB2312"/>
                <w:color w:val="00B050"/>
                <w:sz w:val="28"/>
                <w:szCs w:val="28"/>
                <w:lang w:eastAsia="zh-CN"/>
              </w:rPr>
              <w:t>依据《天津市生态环境保护“十四五”规划》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2127" w:type="dxa"/>
            <w:vAlign w:val="center"/>
          </w:tcPr>
          <w:p>
            <w:pPr>
              <w:spacing w:before="108" w:line="189" w:lineRule="auto"/>
              <w:ind w:left="111"/>
              <w:jc w:val="center"/>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ZH12011720006</w:t>
            </w:r>
          </w:p>
        </w:tc>
        <w:tc>
          <w:tcPr>
            <w:tcW w:w="1412" w:type="dxa"/>
            <w:vAlign w:val="center"/>
          </w:tcPr>
          <w:p>
            <w:pPr>
              <w:spacing w:before="115" w:line="264" w:lineRule="auto"/>
              <w:ind w:right="107"/>
              <w:jc w:val="center"/>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13"/>
                <w:sz w:val="28"/>
                <w:szCs w:val="28"/>
              </w:rPr>
              <w:t>宁河区大北产业</w:t>
            </w:r>
            <w:r>
              <w:rPr>
                <w:rFonts w:hint="eastAsia" w:ascii="仿宋_GB2312" w:hAnsi="仿宋_GB2312" w:eastAsia="仿宋_GB2312" w:cs="仿宋_GB2312"/>
                <w:spacing w:val="-11"/>
                <w:sz w:val="28"/>
                <w:szCs w:val="28"/>
              </w:rPr>
              <w:t>园区</w:t>
            </w:r>
          </w:p>
        </w:tc>
        <w:tc>
          <w:tcPr>
            <w:tcW w:w="1418" w:type="dxa"/>
            <w:vAlign w:val="center"/>
          </w:tcPr>
          <w:p>
            <w:pPr>
              <w:spacing w:before="91" w:line="219" w:lineRule="auto"/>
              <w:ind w:left="243"/>
              <w:jc w:val="center"/>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宁河区</w:t>
            </w:r>
          </w:p>
        </w:tc>
        <w:tc>
          <w:tcPr>
            <w:tcW w:w="1417" w:type="dxa"/>
            <w:shd w:val="clear" w:color="auto" w:fill="auto"/>
            <w:vAlign w:val="center"/>
          </w:tcPr>
          <w:p>
            <w:pPr>
              <w:spacing w:before="91" w:line="275" w:lineRule="auto"/>
              <w:ind w:right="21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重点管</w:t>
            </w:r>
            <w:r>
              <w:rPr>
                <w:rFonts w:hint="eastAsia" w:ascii="仿宋_GB2312" w:hAnsi="仿宋_GB2312" w:eastAsia="仿宋_GB2312" w:cs="仿宋_GB2312"/>
                <w:spacing w:val="-6"/>
                <w:sz w:val="28"/>
                <w:szCs w:val="28"/>
              </w:rPr>
              <w:t>控单元</w:t>
            </w:r>
          </w:p>
        </w:tc>
        <w:tc>
          <w:tcPr>
            <w:tcW w:w="1276" w:type="dxa"/>
            <w:shd w:val="clear" w:color="auto" w:fill="auto"/>
            <w:vAlign w:val="center"/>
          </w:tcPr>
          <w:p>
            <w:pPr>
              <w:spacing w:before="91" w:line="219"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产业园区</w:t>
            </w:r>
          </w:p>
        </w:tc>
        <w:tc>
          <w:tcPr>
            <w:tcW w:w="4678" w:type="dxa"/>
            <w:shd w:val="clear" w:color="auto" w:fill="auto"/>
          </w:tcPr>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严禁向禁止类工业项目供地，限制发展类产业禁止投资新建项目和简单扩大再生产，可实施技术改造和智能化升级；对不符合产业政策、环境保护、安全生产等要求的企业，予以清退淘汰。对规划工业用地用途已调整但五年内暂不实施的区域，可实施工业技术改造和智能化升级项目。</w:t>
            </w:r>
            <w:r>
              <w:rPr>
                <w:rFonts w:hint="eastAsia" w:ascii="仿宋_GB2312" w:hAnsi="仿宋_GB2312" w:eastAsia="仿宋_GB2312" w:cs="仿宋_GB2312"/>
                <w:color w:val="00B050"/>
                <w:sz w:val="28"/>
                <w:szCs w:val="28"/>
                <w:lang w:eastAsia="zh-CN"/>
              </w:rPr>
              <w:t>依据《（天津市工业布局规划（2022-2035年）》</w:t>
            </w:r>
          </w:p>
        </w:tc>
        <w:tc>
          <w:tcPr>
            <w:tcW w:w="3260" w:type="dxa"/>
            <w:shd w:val="clear" w:color="auto" w:fill="auto"/>
          </w:tcPr>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17"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color w:val="auto"/>
                <w:sz w:val="28"/>
                <w:szCs w:val="28"/>
                <w:lang w:eastAsia="zh-CN"/>
              </w:rPr>
              <w:t>推进工业园区水环境问题排查整治。全面调查评估工业废水收集、处理情况，对排查出的问题开展整治。加强工业企业、工业园区废水排放监管，确保工业废水稳定达标排放。</w:t>
            </w:r>
            <w:r>
              <w:rPr>
                <w:rFonts w:hint="eastAsia" w:ascii="仿宋_GB2312" w:hAnsi="仿宋_GB2312" w:eastAsia="仿宋_GB2312" w:cs="仿宋_GB2312"/>
                <w:color w:val="00B050"/>
                <w:sz w:val="28"/>
                <w:szCs w:val="28"/>
                <w:lang w:eastAsia="zh-CN"/>
              </w:rPr>
              <w:t>依据《天津市持续深入打好污染防治攻坚战三年行动方案》</w:t>
            </w:r>
          </w:p>
          <w:p>
            <w:pPr>
              <w:spacing w:before="91" w:line="217" w:lineRule="auto"/>
              <w:rPr>
                <w:rFonts w:hint="eastAsia" w:ascii="仿宋_GB2312" w:hAnsi="仿宋_GB2312" w:eastAsia="仿宋_GB2312" w:cs="仿宋_GB2312"/>
                <w:spacing w:val="-4"/>
                <w:sz w:val="28"/>
                <w:szCs w:val="28"/>
                <w:lang w:eastAsia="zh-CN"/>
              </w:rPr>
            </w:pPr>
          </w:p>
        </w:tc>
        <w:tc>
          <w:tcPr>
            <w:tcW w:w="2268" w:type="dxa"/>
            <w:shd w:val="clear" w:color="auto" w:fill="auto"/>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85" w:lineRule="auto"/>
              <w:ind w:right="102"/>
              <w:rPr>
                <w:rFonts w:hint="eastAsia" w:ascii="仿宋_GB2312" w:hAnsi="仿宋_GB2312" w:eastAsia="仿宋_GB2312" w:cs="仿宋_GB2312"/>
                <w:spacing w:val="-4"/>
                <w:sz w:val="28"/>
                <w:szCs w:val="28"/>
                <w:lang w:eastAsia="zh-CN"/>
              </w:rPr>
            </w:pPr>
          </w:p>
        </w:tc>
        <w:tc>
          <w:tcPr>
            <w:tcW w:w="3071" w:type="dxa"/>
            <w:shd w:val="clear" w:color="auto" w:fill="auto"/>
          </w:tcPr>
          <w:p>
            <w:pPr>
              <w:spacing w:before="91" w:line="287" w:lineRule="auto"/>
              <w:ind w:right="106"/>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119" w:line="286" w:lineRule="auto"/>
              <w:ind w:right="108"/>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2.引导工业园区绿色化改造。推动产业园区实施循环化、节能低碳化改造，促进资源循环利用、能量梯级利用。</w:t>
            </w:r>
            <w:r>
              <w:rPr>
                <w:rFonts w:hint="eastAsia" w:ascii="仿宋_GB2312" w:hAnsi="仿宋_GB2312" w:eastAsia="仿宋_GB2312" w:cs="仿宋_GB2312"/>
                <w:color w:val="00B050"/>
                <w:sz w:val="28"/>
                <w:szCs w:val="28"/>
                <w:lang w:eastAsia="zh-CN"/>
              </w:rPr>
              <w:t>依据《天津市生态环境保护“十四五”规划》</w:t>
            </w:r>
          </w:p>
        </w:tc>
      </w:tr>
    </w:tbl>
    <w:p>
      <w:pPr>
        <w:rPr>
          <w:rFonts w:eastAsiaTheme="minorEastAsia"/>
          <w:lang w:eastAsia="zh-CN"/>
        </w:rPr>
        <w:sectPr>
          <w:footerReference r:id="rId7" w:type="default"/>
          <w:pgSz w:w="23811" w:h="16839"/>
          <w:pgMar w:top="1431" w:right="1438" w:bottom="1707" w:left="1440" w:header="0" w:footer="1456" w:gutter="0"/>
          <w:pgNumType w:fmt="decimal"/>
          <w:cols w:space="720" w:num="1"/>
        </w:sectPr>
      </w:pPr>
    </w:p>
    <w:p>
      <w:pPr>
        <w:spacing w:before="121" w:line="219" w:lineRule="auto"/>
        <w:ind w:left="32"/>
        <w:outlineLvl w:val="0"/>
        <w:rPr>
          <w:rFonts w:ascii="Times New Roman" w:hAnsi="Times New Roman" w:eastAsia="黑体" w:cs="Times New Roman"/>
          <w:bCs/>
          <w:snapToGrid/>
          <w:color w:val="auto"/>
          <w:kern w:val="2"/>
          <w:sz w:val="28"/>
          <w:szCs w:val="32"/>
          <w:lang w:eastAsia="zh-CN"/>
        </w:rPr>
      </w:pPr>
      <w:bookmarkStart w:id="82" w:name="_Toc506177942"/>
      <w:bookmarkStart w:id="83" w:name="_Toc1051431689"/>
      <w:bookmarkStart w:id="84" w:name="_Toc600311398"/>
      <w:r>
        <w:rPr>
          <w:rFonts w:hint="default" w:ascii="Times New Roman" w:hAnsi="Times New Roman" w:eastAsia="黑体" w:cs="Times New Roman"/>
          <w:bCs/>
          <w:snapToGrid/>
          <w:color w:val="auto"/>
          <w:kern w:val="2"/>
          <w:sz w:val="28"/>
          <w:szCs w:val="32"/>
          <w:lang w:eastAsia="zh-CN"/>
        </w:rPr>
        <w:t>2.6</w:t>
      </w:r>
      <w:r>
        <w:rPr>
          <w:rFonts w:ascii="Times New Roman" w:hAnsi="Times New Roman" w:eastAsia="黑体" w:cs="Times New Roman"/>
          <w:bCs/>
          <w:snapToGrid/>
          <w:color w:val="auto"/>
          <w:kern w:val="2"/>
          <w:sz w:val="28"/>
          <w:szCs w:val="32"/>
          <w:lang w:eastAsia="zh-CN"/>
        </w:rPr>
        <w:t>宁河区水污染农业重点管控单元</w:t>
      </w:r>
      <w:r>
        <w:rPr>
          <w:rFonts w:hint="default" w:ascii="Times New Roman" w:hAnsi="Times New Roman" w:eastAsia="黑体" w:cs="Times New Roman"/>
          <w:bCs/>
          <w:snapToGrid/>
          <w:color w:val="auto"/>
          <w:kern w:val="2"/>
          <w:sz w:val="28"/>
          <w:szCs w:val="32"/>
          <w:lang w:eastAsia="zh-CN"/>
        </w:rPr>
        <w:t>管控要求</w:t>
      </w:r>
      <w:bookmarkEnd w:id="82"/>
      <w:bookmarkEnd w:id="83"/>
      <w:bookmarkEnd w:id="84"/>
    </w:p>
    <w:p>
      <w:pPr>
        <w:spacing w:line="150" w:lineRule="exact"/>
        <w:rPr>
          <w:lang w:eastAsia="zh-CN"/>
        </w:rPr>
      </w:pPr>
    </w:p>
    <w:tbl>
      <w:tblPr>
        <w:tblStyle w:val="16"/>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843"/>
        <w:gridCol w:w="1276"/>
        <w:gridCol w:w="1272"/>
        <w:gridCol w:w="1555"/>
        <w:gridCol w:w="3827"/>
        <w:gridCol w:w="2694"/>
        <w:gridCol w:w="3548"/>
        <w:gridCol w:w="3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562" w:type="dxa"/>
            <w:vAlign w:val="center"/>
          </w:tcPr>
          <w:p>
            <w:pPr>
              <w:spacing w:before="119" w:line="250" w:lineRule="auto"/>
              <w:ind w:left="241" w:right="215" w:hanging="5"/>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w:t>
            </w:r>
            <w:r>
              <w:rPr>
                <w:rFonts w:hint="eastAsia" w:ascii="仿宋_GB2312" w:hAnsi="仿宋_GB2312" w:eastAsia="仿宋_GB2312" w:cs="仿宋_GB2312"/>
                <w:spacing w:val="-6"/>
                <w:sz w:val="28"/>
                <w:szCs w:val="28"/>
              </w:rPr>
              <w:t>单元编码</w:t>
            </w:r>
          </w:p>
        </w:tc>
        <w:tc>
          <w:tcPr>
            <w:tcW w:w="1843" w:type="dxa"/>
            <w:vAlign w:val="center"/>
          </w:tcPr>
          <w:p>
            <w:pPr>
              <w:spacing w:before="119" w:line="250" w:lineRule="auto"/>
              <w:ind w:left="520" w:right="219" w:hanging="285"/>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环境管控单</w:t>
            </w:r>
            <w:r>
              <w:rPr>
                <w:rFonts w:hint="eastAsia" w:ascii="仿宋_GB2312" w:hAnsi="仿宋_GB2312" w:eastAsia="仿宋_GB2312" w:cs="仿宋_GB2312"/>
                <w:spacing w:val="-5"/>
                <w:sz w:val="28"/>
                <w:szCs w:val="28"/>
              </w:rPr>
              <w:t>元名称</w:t>
            </w:r>
          </w:p>
        </w:tc>
        <w:tc>
          <w:tcPr>
            <w:tcW w:w="1276" w:type="dxa"/>
            <w:vAlign w:val="center"/>
          </w:tcPr>
          <w:p>
            <w:pPr>
              <w:spacing w:before="119" w:line="250" w:lineRule="auto"/>
              <w:ind w:left="514" w:right="214" w:hanging="279"/>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行政区</w:t>
            </w:r>
            <w:r>
              <w:rPr>
                <w:rFonts w:hint="eastAsia" w:ascii="仿宋_GB2312" w:hAnsi="仿宋_GB2312" w:eastAsia="仿宋_GB2312" w:cs="仿宋_GB2312"/>
                <w:sz w:val="28"/>
                <w:szCs w:val="28"/>
              </w:rPr>
              <w:t>划</w:t>
            </w:r>
          </w:p>
        </w:tc>
        <w:tc>
          <w:tcPr>
            <w:tcW w:w="1272" w:type="dxa"/>
            <w:vAlign w:val="center"/>
          </w:tcPr>
          <w:p>
            <w:pPr>
              <w:spacing w:before="119" w:line="250" w:lineRule="auto"/>
              <w:ind w:left="235" w:right="211" w:firstLine="10"/>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管控单</w:t>
            </w:r>
            <w:r>
              <w:rPr>
                <w:rFonts w:hint="eastAsia" w:ascii="仿宋_GB2312" w:hAnsi="仿宋_GB2312" w:eastAsia="仿宋_GB2312" w:cs="仿宋_GB2312"/>
                <w:spacing w:val="-7"/>
                <w:sz w:val="28"/>
                <w:szCs w:val="28"/>
              </w:rPr>
              <w:t>元分类</w:t>
            </w:r>
          </w:p>
        </w:tc>
        <w:tc>
          <w:tcPr>
            <w:tcW w:w="1555" w:type="dxa"/>
            <w:vAlign w:val="center"/>
          </w:tcPr>
          <w:p>
            <w:pPr>
              <w:spacing w:before="91" w:line="221"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备注</w:t>
            </w:r>
          </w:p>
        </w:tc>
        <w:tc>
          <w:tcPr>
            <w:tcW w:w="3827" w:type="dxa"/>
            <w:vAlign w:val="center"/>
          </w:tcPr>
          <w:p>
            <w:pPr>
              <w:spacing w:before="91" w:line="216"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空间布局约束</w:t>
            </w:r>
          </w:p>
        </w:tc>
        <w:tc>
          <w:tcPr>
            <w:tcW w:w="2694" w:type="dxa"/>
            <w:vAlign w:val="center"/>
          </w:tcPr>
          <w:p>
            <w:pPr>
              <w:spacing w:before="91" w:line="217"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污染物排放管控</w:t>
            </w:r>
          </w:p>
        </w:tc>
        <w:tc>
          <w:tcPr>
            <w:tcW w:w="3548" w:type="dxa"/>
            <w:vAlign w:val="center"/>
          </w:tcPr>
          <w:p>
            <w:pPr>
              <w:spacing w:before="91" w:line="219"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环境风险防控</w:t>
            </w:r>
          </w:p>
        </w:tc>
        <w:tc>
          <w:tcPr>
            <w:tcW w:w="3350" w:type="dxa"/>
            <w:vAlign w:val="center"/>
          </w:tcPr>
          <w:p>
            <w:pPr>
              <w:spacing w:before="91" w:line="219"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资源开发效率要求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1562" w:type="dxa"/>
            <w:vAlign w:val="center"/>
          </w:tcPr>
          <w:p>
            <w:pPr>
              <w:spacing w:before="80" w:line="324" w:lineRule="auto"/>
              <w:ind w:left="432" w:right="176" w:hanging="25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rPr>
              <w:t>ZH120117</w:t>
            </w:r>
            <w:r>
              <w:rPr>
                <w:rFonts w:hint="eastAsia" w:ascii="仿宋_GB2312" w:hAnsi="仿宋_GB2312" w:eastAsia="仿宋_GB2312" w:cs="仿宋_GB2312"/>
                <w:spacing w:val="-1"/>
                <w:sz w:val="28"/>
                <w:szCs w:val="28"/>
              </w:rPr>
              <w:t>20007</w:t>
            </w:r>
          </w:p>
        </w:tc>
        <w:tc>
          <w:tcPr>
            <w:tcW w:w="1843" w:type="dxa"/>
            <w:vAlign w:val="center"/>
          </w:tcPr>
          <w:p>
            <w:pPr>
              <w:spacing w:before="108" w:line="213" w:lineRule="auto"/>
              <w:ind w:lef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6"/>
                <w:sz w:val="28"/>
                <w:szCs w:val="28"/>
                <w:lang w:eastAsia="zh-CN"/>
              </w:rPr>
              <w:t>宁河区水污</w:t>
            </w:r>
            <w:r>
              <w:rPr>
                <w:rFonts w:hint="eastAsia" w:ascii="仿宋_GB2312" w:hAnsi="仿宋_GB2312" w:eastAsia="仿宋_GB2312" w:cs="仿宋_GB2312"/>
                <w:spacing w:val="-4"/>
                <w:sz w:val="28"/>
                <w:szCs w:val="28"/>
                <w:lang w:eastAsia="zh-CN"/>
              </w:rPr>
              <w:t>染农业重点</w:t>
            </w:r>
            <w:r>
              <w:rPr>
                <w:rFonts w:hint="eastAsia" w:ascii="仿宋_GB2312" w:hAnsi="仿宋_GB2312" w:eastAsia="仿宋_GB2312" w:cs="仿宋_GB2312"/>
                <w:spacing w:val="-6"/>
                <w:sz w:val="28"/>
                <w:szCs w:val="28"/>
                <w:lang w:eastAsia="zh-CN"/>
              </w:rPr>
              <w:t>管控单元</w:t>
            </w:r>
          </w:p>
        </w:tc>
        <w:tc>
          <w:tcPr>
            <w:tcW w:w="1276" w:type="dxa"/>
            <w:vAlign w:val="center"/>
          </w:tcPr>
          <w:p>
            <w:pPr>
              <w:spacing w:before="91" w:line="219" w:lineRule="auto"/>
              <w:ind w:lef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宁河区</w:t>
            </w:r>
          </w:p>
        </w:tc>
        <w:tc>
          <w:tcPr>
            <w:tcW w:w="1272" w:type="dxa"/>
            <w:vAlign w:val="center"/>
          </w:tcPr>
          <w:p>
            <w:pPr>
              <w:spacing w:before="91" w:line="275" w:lineRule="auto"/>
              <w:ind w:left="0" w:right="211" w:firstLine="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rPr>
              <w:t>重点管</w:t>
            </w:r>
            <w:r>
              <w:rPr>
                <w:rFonts w:hint="eastAsia" w:ascii="仿宋_GB2312" w:hAnsi="仿宋_GB2312" w:eastAsia="仿宋_GB2312" w:cs="仿宋_GB2312"/>
                <w:spacing w:val="-6"/>
                <w:sz w:val="28"/>
                <w:szCs w:val="28"/>
              </w:rPr>
              <w:t>控单元</w:t>
            </w:r>
          </w:p>
        </w:tc>
        <w:tc>
          <w:tcPr>
            <w:tcW w:w="1555" w:type="dxa"/>
            <w:vAlign w:val="center"/>
          </w:tcPr>
          <w:p>
            <w:pPr>
              <w:spacing w:before="91" w:line="275" w:lineRule="auto"/>
              <w:ind w:left="0" w:right="146" w:firstLine="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环境治理重</w:t>
            </w:r>
            <w:r>
              <w:rPr>
                <w:rFonts w:hint="eastAsia" w:ascii="仿宋_GB2312" w:hAnsi="仿宋_GB2312" w:eastAsia="仿宋_GB2312" w:cs="仿宋_GB2312"/>
                <w:spacing w:val="-7"/>
                <w:sz w:val="28"/>
                <w:szCs w:val="28"/>
                <w:lang w:eastAsia="zh-CN"/>
              </w:rPr>
              <w:t>点管控单元</w:t>
            </w:r>
          </w:p>
        </w:tc>
        <w:tc>
          <w:tcPr>
            <w:tcW w:w="3827" w:type="dxa"/>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75" w:lineRule="auto"/>
              <w:ind w:right="121"/>
              <w:rPr>
                <w:rFonts w:hint="eastAsia" w:ascii="仿宋_GB2312" w:hAnsi="仿宋_GB2312" w:eastAsia="仿宋_GB2312" w:cs="仿宋_GB2312"/>
                <w:color w:val="00B050"/>
                <w:spacing w:val="-4"/>
                <w:sz w:val="28"/>
                <w:szCs w:val="28"/>
                <w:lang w:eastAsia="zh-CN"/>
              </w:rPr>
            </w:pPr>
            <w:r>
              <w:rPr>
                <w:rFonts w:hint="eastAsia" w:ascii="仿宋_GB2312" w:hAnsi="仿宋_GB2312" w:eastAsia="仿宋_GB2312" w:cs="仿宋_GB2312"/>
                <w:spacing w:val="-4"/>
                <w:sz w:val="28"/>
                <w:szCs w:val="28"/>
                <w:lang w:eastAsia="zh-CN"/>
              </w:rPr>
              <w:t>2.坚持保护优先、预防为主，加强土壤、地下水污染协同防治。</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2694" w:type="dxa"/>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112" w:line="265" w:lineRule="auto"/>
              <w:ind w:right="104"/>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2.健全水污染应急联动机制。</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3548" w:type="dxa"/>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112" w:line="265" w:lineRule="auto"/>
              <w:ind w:right="45"/>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spacing w:val="-4"/>
                <w:sz w:val="28"/>
                <w:szCs w:val="28"/>
                <w:lang w:eastAsia="zh-CN"/>
              </w:rPr>
              <w:t>.着力防范化解生态环境风险。加强重金属风险防控。</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3350" w:type="dxa"/>
          </w:tcPr>
          <w:p>
            <w:pPr>
              <w:spacing w:before="41" w:line="283" w:lineRule="auto"/>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41" w:line="283" w:lineRule="auto"/>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2.加强非常规水源开发利用，加大再生水推广利用。</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r>
    </w:tbl>
    <w:p>
      <w:pPr>
        <w:spacing w:before="268" w:line="219" w:lineRule="auto"/>
        <w:ind w:left="32"/>
        <w:outlineLvl w:val="0"/>
        <w:rPr>
          <w:rFonts w:ascii="Times New Roman" w:hAnsi="Times New Roman" w:eastAsia="黑体" w:cs="Times New Roman"/>
          <w:bCs/>
          <w:snapToGrid/>
          <w:color w:val="auto"/>
          <w:kern w:val="2"/>
          <w:sz w:val="28"/>
          <w:szCs w:val="32"/>
          <w:lang w:eastAsia="zh-CN"/>
        </w:rPr>
      </w:pPr>
      <w:bookmarkStart w:id="85" w:name="_Toc2000597709"/>
      <w:bookmarkStart w:id="86" w:name="_Toc2020664636"/>
      <w:bookmarkStart w:id="87" w:name="_Toc787500009"/>
      <w:r>
        <w:rPr>
          <w:rFonts w:hint="default" w:ascii="Times New Roman" w:hAnsi="Times New Roman" w:eastAsia="黑体" w:cs="Times New Roman"/>
          <w:bCs/>
          <w:snapToGrid/>
          <w:color w:val="auto"/>
          <w:kern w:val="2"/>
          <w:sz w:val="28"/>
          <w:szCs w:val="32"/>
          <w:lang w:eastAsia="zh-CN"/>
        </w:rPr>
        <w:t>2.7</w:t>
      </w:r>
      <w:r>
        <w:rPr>
          <w:rFonts w:ascii="Times New Roman" w:hAnsi="Times New Roman" w:eastAsia="黑体" w:cs="Times New Roman"/>
          <w:bCs/>
          <w:snapToGrid/>
          <w:color w:val="auto"/>
          <w:kern w:val="2"/>
          <w:sz w:val="28"/>
          <w:szCs w:val="32"/>
          <w:lang w:eastAsia="zh-CN"/>
        </w:rPr>
        <w:t>宁河区水污染农业重点管控和大气污染受体敏感重点管控单元</w:t>
      </w:r>
      <w:r>
        <w:rPr>
          <w:rFonts w:hint="default" w:ascii="Times New Roman" w:hAnsi="Times New Roman" w:eastAsia="黑体" w:cs="Times New Roman"/>
          <w:bCs/>
          <w:snapToGrid/>
          <w:color w:val="auto"/>
          <w:kern w:val="2"/>
          <w:sz w:val="28"/>
          <w:szCs w:val="32"/>
          <w:lang w:eastAsia="zh-CN"/>
        </w:rPr>
        <w:t>管控要求</w:t>
      </w:r>
      <w:bookmarkEnd w:id="85"/>
      <w:bookmarkEnd w:id="86"/>
      <w:bookmarkEnd w:id="87"/>
    </w:p>
    <w:p>
      <w:pPr>
        <w:spacing w:line="150" w:lineRule="exact"/>
        <w:rPr>
          <w:lang w:eastAsia="zh-CN"/>
        </w:rPr>
      </w:pPr>
    </w:p>
    <w:tbl>
      <w:tblPr>
        <w:tblStyle w:val="16"/>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982"/>
        <w:gridCol w:w="1276"/>
        <w:gridCol w:w="1274"/>
        <w:gridCol w:w="1699"/>
        <w:gridCol w:w="3686"/>
        <w:gridCol w:w="3007"/>
        <w:gridCol w:w="3290"/>
        <w:gridCol w:w="32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421" w:type="dxa"/>
            <w:vAlign w:val="center"/>
          </w:tcPr>
          <w:p>
            <w:pPr>
              <w:spacing w:before="117" w:line="251" w:lineRule="auto"/>
              <w:ind w:left="169" w:right="146" w:hanging="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w:t>
            </w:r>
            <w:r>
              <w:rPr>
                <w:rFonts w:hint="eastAsia" w:ascii="仿宋_GB2312" w:hAnsi="仿宋_GB2312" w:eastAsia="仿宋_GB2312" w:cs="仿宋_GB2312"/>
                <w:spacing w:val="-6"/>
                <w:sz w:val="28"/>
                <w:szCs w:val="28"/>
              </w:rPr>
              <w:t>单元编码</w:t>
            </w:r>
          </w:p>
        </w:tc>
        <w:tc>
          <w:tcPr>
            <w:tcW w:w="1982" w:type="dxa"/>
            <w:vAlign w:val="center"/>
          </w:tcPr>
          <w:p>
            <w:pPr>
              <w:spacing w:before="117" w:line="251" w:lineRule="auto"/>
              <w:ind w:left="724" w:right="148" w:hanging="560"/>
              <w:jc w:val="both"/>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环境管控单元</w:t>
            </w:r>
            <w:r>
              <w:rPr>
                <w:rFonts w:hint="eastAsia" w:ascii="仿宋_GB2312" w:hAnsi="仿宋_GB2312" w:eastAsia="仿宋_GB2312" w:cs="仿宋_GB2312"/>
                <w:spacing w:val="-5"/>
                <w:sz w:val="28"/>
                <w:szCs w:val="28"/>
              </w:rPr>
              <w:t>名称</w:t>
            </w:r>
          </w:p>
        </w:tc>
        <w:tc>
          <w:tcPr>
            <w:tcW w:w="1276" w:type="dxa"/>
            <w:vAlign w:val="center"/>
          </w:tcPr>
          <w:p>
            <w:pPr>
              <w:spacing w:before="117" w:line="251" w:lineRule="auto"/>
              <w:ind w:left="513" w:right="214" w:hanging="279"/>
              <w:jc w:val="both"/>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行政区</w:t>
            </w:r>
            <w:r>
              <w:rPr>
                <w:rFonts w:hint="eastAsia" w:ascii="仿宋_GB2312" w:hAnsi="仿宋_GB2312" w:eastAsia="仿宋_GB2312" w:cs="仿宋_GB2312"/>
                <w:sz w:val="28"/>
                <w:szCs w:val="28"/>
              </w:rPr>
              <w:t>划</w:t>
            </w:r>
          </w:p>
        </w:tc>
        <w:tc>
          <w:tcPr>
            <w:tcW w:w="1274" w:type="dxa"/>
            <w:vAlign w:val="center"/>
          </w:tcPr>
          <w:p>
            <w:pPr>
              <w:spacing w:before="117" w:line="251" w:lineRule="auto"/>
              <w:ind w:left="237" w:right="211" w:firstLine="1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管控单</w:t>
            </w:r>
            <w:r>
              <w:rPr>
                <w:rFonts w:hint="eastAsia" w:ascii="仿宋_GB2312" w:hAnsi="仿宋_GB2312" w:eastAsia="仿宋_GB2312" w:cs="仿宋_GB2312"/>
                <w:spacing w:val="-7"/>
                <w:sz w:val="28"/>
                <w:szCs w:val="28"/>
              </w:rPr>
              <w:t>元分类</w:t>
            </w:r>
          </w:p>
        </w:tc>
        <w:tc>
          <w:tcPr>
            <w:tcW w:w="1699" w:type="dxa"/>
            <w:vAlign w:val="center"/>
          </w:tcPr>
          <w:p>
            <w:pPr>
              <w:spacing w:before="91" w:line="221"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备注</w:t>
            </w:r>
          </w:p>
        </w:tc>
        <w:tc>
          <w:tcPr>
            <w:tcW w:w="3686" w:type="dxa"/>
            <w:vAlign w:val="center"/>
          </w:tcPr>
          <w:p>
            <w:pPr>
              <w:spacing w:before="91" w:line="216"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空间布局约束</w:t>
            </w:r>
          </w:p>
        </w:tc>
        <w:tc>
          <w:tcPr>
            <w:tcW w:w="3007" w:type="dxa"/>
            <w:vAlign w:val="center"/>
          </w:tcPr>
          <w:p>
            <w:pPr>
              <w:spacing w:before="91" w:line="217"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污染物排放管控</w:t>
            </w:r>
          </w:p>
        </w:tc>
        <w:tc>
          <w:tcPr>
            <w:tcW w:w="3290" w:type="dxa"/>
            <w:vAlign w:val="center"/>
          </w:tcPr>
          <w:p>
            <w:pPr>
              <w:spacing w:before="91" w:line="219"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环境风险防控</w:t>
            </w:r>
          </w:p>
        </w:tc>
        <w:tc>
          <w:tcPr>
            <w:tcW w:w="3292" w:type="dxa"/>
            <w:vAlign w:val="center"/>
          </w:tcPr>
          <w:p>
            <w:pPr>
              <w:spacing w:before="91" w:line="219"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资源开发效率要求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1421" w:type="dxa"/>
            <w:vAlign w:val="center"/>
          </w:tcPr>
          <w:p>
            <w:pPr>
              <w:spacing w:before="81" w:line="325" w:lineRule="auto"/>
              <w:ind w:left="297" w:right="177" w:hanging="119"/>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rPr>
              <w:t>ZH12011720008</w:t>
            </w:r>
          </w:p>
        </w:tc>
        <w:tc>
          <w:tcPr>
            <w:tcW w:w="1982" w:type="dxa"/>
            <w:vAlign w:val="center"/>
          </w:tcPr>
          <w:p>
            <w:pPr>
              <w:spacing w:before="110" w:line="275" w:lineRule="auto"/>
              <w:ind w:left="121" w:right="105" w:firstLine="1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lang w:eastAsia="zh-CN"/>
              </w:rPr>
              <w:t>宁河区水污</w:t>
            </w:r>
            <w:bookmarkStart w:id="88" w:name="bookmark9"/>
            <w:bookmarkEnd w:id="88"/>
            <w:r>
              <w:rPr>
                <w:rFonts w:hint="eastAsia" w:ascii="仿宋_GB2312" w:hAnsi="仿宋_GB2312" w:eastAsia="仿宋_GB2312" w:cs="仿宋_GB2312"/>
                <w:spacing w:val="9"/>
                <w:sz w:val="28"/>
                <w:szCs w:val="28"/>
                <w:lang w:eastAsia="zh-CN"/>
              </w:rPr>
              <w:t>染</w:t>
            </w:r>
            <w:r>
              <w:rPr>
                <w:rFonts w:hint="eastAsia" w:ascii="仿宋_GB2312" w:hAnsi="仿宋_GB2312" w:eastAsia="仿宋_GB2312" w:cs="仿宋_GB2312"/>
                <w:spacing w:val="11"/>
                <w:sz w:val="28"/>
                <w:szCs w:val="28"/>
                <w:lang w:eastAsia="zh-CN"/>
              </w:rPr>
              <w:t>农业重点管控和大气污染受体敏感重点管</w:t>
            </w:r>
            <w:r>
              <w:rPr>
                <w:rFonts w:hint="eastAsia" w:ascii="仿宋_GB2312" w:hAnsi="仿宋_GB2312" w:eastAsia="仿宋_GB2312" w:cs="仿宋_GB2312"/>
                <w:spacing w:val="-4"/>
                <w:sz w:val="28"/>
                <w:szCs w:val="28"/>
                <w:lang w:eastAsia="zh-CN"/>
              </w:rPr>
              <w:t>控单元</w:t>
            </w:r>
          </w:p>
        </w:tc>
        <w:tc>
          <w:tcPr>
            <w:tcW w:w="1276" w:type="dxa"/>
            <w:vAlign w:val="center"/>
          </w:tcPr>
          <w:p>
            <w:pPr>
              <w:spacing w:before="91" w:line="219" w:lineRule="auto"/>
              <w:ind w:lef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宁河区</w:t>
            </w:r>
          </w:p>
        </w:tc>
        <w:tc>
          <w:tcPr>
            <w:tcW w:w="1274" w:type="dxa"/>
            <w:vAlign w:val="center"/>
          </w:tcPr>
          <w:p>
            <w:pPr>
              <w:spacing w:before="91" w:line="275" w:lineRule="auto"/>
              <w:ind w:left="0" w:right="211" w:firstLine="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rPr>
              <w:t>重点管</w:t>
            </w:r>
            <w:r>
              <w:rPr>
                <w:rFonts w:hint="eastAsia" w:ascii="仿宋_GB2312" w:hAnsi="仿宋_GB2312" w:eastAsia="仿宋_GB2312" w:cs="仿宋_GB2312"/>
                <w:spacing w:val="-6"/>
                <w:sz w:val="28"/>
                <w:szCs w:val="28"/>
              </w:rPr>
              <w:t>控单元</w:t>
            </w:r>
          </w:p>
        </w:tc>
        <w:tc>
          <w:tcPr>
            <w:tcW w:w="1699" w:type="dxa"/>
            <w:vAlign w:val="center"/>
          </w:tcPr>
          <w:p>
            <w:pPr>
              <w:spacing w:before="91" w:line="275" w:lineRule="auto"/>
              <w:ind w:left="179" w:right="146" w:hanging="15"/>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环境治理重</w:t>
            </w:r>
            <w:r>
              <w:rPr>
                <w:rFonts w:hint="eastAsia" w:ascii="仿宋_GB2312" w:hAnsi="仿宋_GB2312" w:eastAsia="仿宋_GB2312" w:cs="仿宋_GB2312"/>
                <w:spacing w:val="-7"/>
                <w:sz w:val="28"/>
                <w:szCs w:val="28"/>
                <w:lang w:eastAsia="zh-CN"/>
              </w:rPr>
              <w:t>点管控单元</w:t>
            </w:r>
          </w:p>
        </w:tc>
        <w:tc>
          <w:tcPr>
            <w:tcW w:w="3686" w:type="dxa"/>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83" w:lineRule="auto"/>
              <w:ind w:right="102"/>
              <w:rPr>
                <w:rFonts w:hint="eastAsia" w:ascii="仿宋_GB2312" w:hAnsi="仿宋_GB2312" w:eastAsia="仿宋_GB2312" w:cs="仿宋_GB2312"/>
                <w:color w:val="00B050"/>
                <w:spacing w:val="-4"/>
                <w:sz w:val="28"/>
                <w:szCs w:val="28"/>
                <w:lang w:eastAsia="zh-CN"/>
              </w:rPr>
            </w:pPr>
            <w:r>
              <w:rPr>
                <w:rFonts w:hint="eastAsia" w:ascii="仿宋_GB2312" w:hAnsi="仿宋_GB2312" w:eastAsia="仿宋_GB2312" w:cs="仿宋_GB2312"/>
                <w:spacing w:val="-4"/>
                <w:sz w:val="28"/>
                <w:szCs w:val="28"/>
                <w:lang w:eastAsia="zh-CN"/>
              </w:rPr>
              <w:t>2.坚持保护优先、预防为主，加强土壤、地下水污染协同防治。</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3007" w:type="dxa"/>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110" w:line="275" w:lineRule="auto"/>
              <w:ind w:right="102"/>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2.深化大气污染联防联控，推动大气环境污染联合防控和治理。</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3290" w:type="dxa"/>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83" w:lineRule="auto"/>
              <w:ind w:right="72"/>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spacing w:val="-4"/>
                <w:sz w:val="28"/>
                <w:szCs w:val="28"/>
                <w:lang w:eastAsia="zh-CN"/>
              </w:rPr>
              <w:t>.着力防范化解生态环境风险。加强重金属风险防控。</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3292" w:type="dxa"/>
          </w:tcPr>
          <w:p>
            <w:pPr>
              <w:spacing w:before="41" w:line="283" w:lineRule="auto"/>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2.加强非常规水源开发利用，加大再生水推广利用。</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r>
    </w:tbl>
    <w:p>
      <w:pPr>
        <w:pStyle w:val="3"/>
        <w:spacing w:before="267" w:line="219" w:lineRule="auto"/>
        <w:ind w:left="32"/>
        <w:rPr>
          <w:rFonts w:eastAsia="黑体"/>
          <w:bCs/>
          <w:snapToGrid/>
          <w:color w:val="auto"/>
          <w:kern w:val="2"/>
          <w:sz w:val="36"/>
          <w:szCs w:val="36"/>
          <w:lang w:eastAsia="zh-CN"/>
        </w:rPr>
      </w:pPr>
      <w:bookmarkStart w:id="89" w:name="bookmark10"/>
      <w:bookmarkEnd w:id="89"/>
    </w:p>
    <w:p>
      <w:pPr>
        <w:pStyle w:val="3"/>
        <w:spacing w:before="267" w:line="219" w:lineRule="auto"/>
        <w:ind w:left="32"/>
        <w:rPr>
          <w:rFonts w:eastAsia="黑体"/>
          <w:bCs/>
          <w:snapToGrid/>
          <w:color w:val="auto"/>
          <w:kern w:val="2"/>
          <w:sz w:val="36"/>
          <w:szCs w:val="36"/>
          <w:lang w:eastAsia="zh-CN"/>
        </w:rPr>
      </w:pPr>
    </w:p>
    <w:p>
      <w:pPr>
        <w:spacing w:before="120" w:line="216" w:lineRule="auto"/>
        <w:ind w:left="0"/>
        <w:outlineLvl w:val="0"/>
        <w:rPr>
          <w:rFonts w:hint="eastAsia" w:eastAsia="黑体"/>
          <w:bCs/>
          <w:snapToGrid/>
          <w:color w:val="auto"/>
          <w:kern w:val="2"/>
          <w:sz w:val="36"/>
          <w:szCs w:val="36"/>
          <w:lang w:eastAsia="zh-CN"/>
        </w:rPr>
      </w:pPr>
      <w:bookmarkStart w:id="90" w:name="_Toc2088066807"/>
    </w:p>
    <w:p>
      <w:pPr>
        <w:pageBreakBefore/>
        <w:spacing w:before="120" w:line="216" w:lineRule="auto"/>
        <w:ind w:left="32"/>
        <w:outlineLvl w:val="0"/>
        <w:rPr>
          <w:rFonts w:hint="eastAsia" w:eastAsia="黑体"/>
          <w:bCs/>
          <w:snapToGrid/>
          <w:color w:val="auto"/>
          <w:kern w:val="2"/>
          <w:sz w:val="36"/>
          <w:szCs w:val="36"/>
          <w:lang w:eastAsia="zh-CN"/>
        </w:rPr>
      </w:pPr>
      <w:bookmarkStart w:id="91" w:name="_Toc144686850"/>
      <w:r>
        <w:rPr>
          <w:rFonts w:hint="eastAsia" w:eastAsia="黑体"/>
          <w:bCs/>
          <w:snapToGrid/>
          <w:color w:val="auto"/>
          <w:kern w:val="2"/>
          <w:sz w:val="36"/>
          <w:szCs w:val="36"/>
          <w:lang w:eastAsia="zh-CN"/>
        </w:rPr>
        <w:t>3.宁河区一般管控单元管控要求</w:t>
      </w:r>
      <w:bookmarkEnd w:id="90"/>
      <w:bookmarkEnd w:id="91"/>
    </w:p>
    <w:p>
      <w:pPr>
        <w:spacing w:line="152" w:lineRule="exact"/>
        <w:rPr>
          <w:lang w:eastAsia="zh-CN"/>
        </w:rPr>
      </w:pPr>
    </w:p>
    <w:tbl>
      <w:tblPr>
        <w:tblStyle w:val="16"/>
        <w:tblW w:w="20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982"/>
        <w:gridCol w:w="1276"/>
        <w:gridCol w:w="1274"/>
        <w:gridCol w:w="1272"/>
        <w:gridCol w:w="4819"/>
        <w:gridCol w:w="3544"/>
        <w:gridCol w:w="3544"/>
        <w:gridCol w:w="1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421" w:type="dxa"/>
            <w:vAlign w:val="center"/>
          </w:tcPr>
          <w:p>
            <w:pPr>
              <w:spacing w:before="116" w:line="251" w:lineRule="auto"/>
              <w:ind w:left="169" w:right="146" w:hanging="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环境管控</w:t>
            </w:r>
            <w:r>
              <w:rPr>
                <w:rFonts w:hint="eastAsia" w:ascii="仿宋_GB2312" w:hAnsi="仿宋_GB2312" w:eastAsia="仿宋_GB2312" w:cs="仿宋_GB2312"/>
                <w:spacing w:val="-6"/>
                <w:sz w:val="28"/>
                <w:szCs w:val="28"/>
              </w:rPr>
              <w:t>单元编码</w:t>
            </w:r>
          </w:p>
        </w:tc>
        <w:tc>
          <w:tcPr>
            <w:tcW w:w="1982" w:type="dxa"/>
            <w:vAlign w:val="center"/>
          </w:tcPr>
          <w:p>
            <w:pPr>
              <w:spacing w:before="116" w:line="251" w:lineRule="auto"/>
              <w:ind w:left="724" w:right="148" w:hanging="56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环境管控单元</w:t>
            </w:r>
            <w:r>
              <w:rPr>
                <w:rFonts w:hint="eastAsia" w:ascii="仿宋_GB2312" w:hAnsi="仿宋_GB2312" w:eastAsia="仿宋_GB2312" w:cs="仿宋_GB2312"/>
                <w:spacing w:val="-5"/>
                <w:sz w:val="28"/>
                <w:szCs w:val="28"/>
              </w:rPr>
              <w:t>名称</w:t>
            </w:r>
          </w:p>
        </w:tc>
        <w:tc>
          <w:tcPr>
            <w:tcW w:w="1276" w:type="dxa"/>
            <w:vAlign w:val="center"/>
          </w:tcPr>
          <w:p>
            <w:pPr>
              <w:spacing w:before="116" w:line="251" w:lineRule="auto"/>
              <w:ind w:left="513" w:right="214" w:hanging="27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行政区</w:t>
            </w:r>
            <w:r>
              <w:rPr>
                <w:rFonts w:hint="eastAsia" w:ascii="仿宋_GB2312" w:hAnsi="仿宋_GB2312" w:eastAsia="仿宋_GB2312" w:cs="仿宋_GB2312"/>
                <w:sz w:val="28"/>
                <w:szCs w:val="28"/>
              </w:rPr>
              <w:t>划</w:t>
            </w:r>
          </w:p>
        </w:tc>
        <w:tc>
          <w:tcPr>
            <w:tcW w:w="1274" w:type="dxa"/>
            <w:vAlign w:val="center"/>
          </w:tcPr>
          <w:p>
            <w:pPr>
              <w:spacing w:before="116" w:line="251" w:lineRule="auto"/>
              <w:ind w:left="237" w:right="211" w:firstLine="1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管控单</w:t>
            </w:r>
            <w:r>
              <w:rPr>
                <w:rFonts w:hint="eastAsia" w:ascii="仿宋_GB2312" w:hAnsi="仿宋_GB2312" w:eastAsia="仿宋_GB2312" w:cs="仿宋_GB2312"/>
                <w:spacing w:val="-7"/>
                <w:sz w:val="28"/>
                <w:szCs w:val="28"/>
              </w:rPr>
              <w:t>元分类</w:t>
            </w:r>
          </w:p>
        </w:tc>
        <w:tc>
          <w:tcPr>
            <w:tcW w:w="1272" w:type="dxa"/>
            <w:vAlign w:val="center"/>
          </w:tcPr>
          <w:p>
            <w:pPr>
              <w:spacing w:before="91" w:line="221"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备注</w:t>
            </w:r>
          </w:p>
        </w:tc>
        <w:tc>
          <w:tcPr>
            <w:tcW w:w="4819" w:type="dxa"/>
            <w:vAlign w:val="center"/>
          </w:tcPr>
          <w:p>
            <w:pPr>
              <w:spacing w:before="91" w:line="216"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空间布局约束</w:t>
            </w:r>
          </w:p>
        </w:tc>
        <w:tc>
          <w:tcPr>
            <w:tcW w:w="3544" w:type="dxa"/>
            <w:vAlign w:val="center"/>
          </w:tcPr>
          <w:p>
            <w:pPr>
              <w:spacing w:before="91" w:line="217"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污染物排放管控</w:t>
            </w:r>
          </w:p>
        </w:tc>
        <w:tc>
          <w:tcPr>
            <w:tcW w:w="3544" w:type="dxa"/>
            <w:vAlign w:val="center"/>
          </w:tcPr>
          <w:p>
            <w:pPr>
              <w:spacing w:before="91" w:line="219"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环境风险防控</w:t>
            </w:r>
          </w:p>
        </w:tc>
        <w:tc>
          <w:tcPr>
            <w:tcW w:w="1795" w:type="dxa"/>
            <w:vAlign w:val="center"/>
          </w:tcPr>
          <w:p>
            <w:pPr>
              <w:spacing w:before="91" w:line="219" w:lineRule="auto"/>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资源开发效率要求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421" w:type="dxa"/>
            <w:vAlign w:val="center"/>
          </w:tcPr>
          <w:p>
            <w:pPr>
              <w:spacing w:before="81" w:line="325" w:lineRule="auto"/>
              <w:ind w:left="297" w:right="177" w:hanging="119"/>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rPr>
              <w:t>ZH12011730001</w:t>
            </w:r>
          </w:p>
        </w:tc>
        <w:tc>
          <w:tcPr>
            <w:tcW w:w="1982" w:type="dxa"/>
            <w:vAlign w:val="center"/>
          </w:tcPr>
          <w:p>
            <w:pPr>
              <w:spacing w:before="91" w:line="275" w:lineRule="auto"/>
              <w:ind w:left="305" w:right="148" w:hanging="12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lang w:eastAsia="zh-CN"/>
              </w:rPr>
              <w:t>宁河区环境一</w:t>
            </w:r>
            <w:r>
              <w:rPr>
                <w:rFonts w:hint="eastAsia" w:ascii="仿宋_GB2312" w:hAnsi="仿宋_GB2312" w:eastAsia="仿宋_GB2312" w:cs="仿宋_GB2312"/>
                <w:spacing w:val="-4"/>
                <w:sz w:val="28"/>
                <w:szCs w:val="28"/>
                <w:lang w:eastAsia="zh-CN"/>
              </w:rPr>
              <w:t>般管控单元</w:t>
            </w:r>
          </w:p>
        </w:tc>
        <w:tc>
          <w:tcPr>
            <w:tcW w:w="1276" w:type="dxa"/>
            <w:vAlign w:val="center"/>
          </w:tcPr>
          <w:p>
            <w:pPr>
              <w:spacing w:before="91" w:line="219" w:lineRule="auto"/>
              <w:ind w:left="245"/>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宁河区</w:t>
            </w:r>
          </w:p>
        </w:tc>
        <w:tc>
          <w:tcPr>
            <w:tcW w:w="1274" w:type="dxa"/>
            <w:vAlign w:val="center"/>
          </w:tcPr>
          <w:p>
            <w:pPr>
              <w:spacing w:before="91" w:line="275" w:lineRule="auto"/>
              <w:ind w:left="234" w:right="211" w:firstLine="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7"/>
                <w:sz w:val="28"/>
                <w:szCs w:val="28"/>
              </w:rPr>
              <w:t>一般管</w:t>
            </w:r>
            <w:r>
              <w:rPr>
                <w:rFonts w:hint="eastAsia" w:ascii="仿宋_GB2312" w:hAnsi="仿宋_GB2312" w:eastAsia="仿宋_GB2312" w:cs="仿宋_GB2312"/>
                <w:spacing w:val="-6"/>
                <w:sz w:val="28"/>
                <w:szCs w:val="28"/>
              </w:rPr>
              <w:t>控单元</w:t>
            </w:r>
          </w:p>
        </w:tc>
        <w:tc>
          <w:tcPr>
            <w:tcW w:w="1272" w:type="dxa"/>
            <w:vAlign w:val="center"/>
          </w:tcPr>
          <w:p>
            <w:pPr>
              <w:spacing w:before="91" w:line="275" w:lineRule="auto"/>
              <w:ind w:left="445" w:right="146" w:hanging="28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rPr>
              <w:t>环境一般管控单元</w:t>
            </w:r>
          </w:p>
        </w:tc>
        <w:tc>
          <w:tcPr>
            <w:tcW w:w="4819" w:type="dxa"/>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tc>
        <w:tc>
          <w:tcPr>
            <w:tcW w:w="3544" w:type="dxa"/>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17" w:lineRule="auto"/>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2.推进恶臭异味综合治理。</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3544" w:type="dxa"/>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19" w:lineRule="auto"/>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2.严格建设用地准入，加强腾退土地污染风险管控和修复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B050"/>
                <w:spacing w:val="-4"/>
                <w:sz w:val="28"/>
                <w:szCs w:val="28"/>
                <w:lang w:eastAsia="zh-CN"/>
              </w:rPr>
              <w:t>依据《天津市宁河区人民政府办公室关于印发宁河区生态环境保护“十四五”规划的通知（津宁河政办发〔2023〕1号）》</w:t>
            </w:r>
          </w:p>
        </w:tc>
        <w:tc>
          <w:tcPr>
            <w:tcW w:w="1795" w:type="dxa"/>
          </w:tcPr>
          <w:p>
            <w:pPr>
              <w:spacing w:before="41" w:line="283"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pacing w:val="-4"/>
                <w:sz w:val="28"/>
                <w:szCs w:val="28"/>
                <w:lang w:eastAsia="zh-CN"/>
              </w:rPr>
              <w:t>1.执行市级总体管控要求和宁河区区级管控要求。</w:t>
            </w:r>
          </w:p>
          <w:p>
            <w:pPr>
              <w:spacing w:before="91" w:line="219" w:lineRule="auto"/>
              <w:rPr>
                <w:rFonts w:hint="eastAsia" w:ascii="仿宋_GB2312" w:hAnsi="仿宋_GB2312" w:eastAsia="仿宋_GB2312" w:cs="仿宋_GB2312"/>
                <w:spacing w:val="-4"/>
                <w:sz w:val="28"/>
                <w:szCs w:val="28"/>
                <w:lang w:eastAsia="zh-CN"/>
              </w:rPr>
            </w:pPr>
          </w:p>
        </w:tc>
      </w:tr>
    </w:tbl>
    <w:p>
      <w:pPr>
        <w:rPr>
          <w:lang w:eastAsia="zh-CN"/>
        </w:rPr>
      </w:pPr>
      <w:bookmarkStart w:id="92" w:name="bookmark21"/>
      <w:bookmarkEnd w:id="92"/>
    </w:p>
    <w:p>
      <w:pPr>
        <w:rPr>
          <w:lang w:eastAsia="zh-CN"/>
        </w:rPr>
      </w:pPr>
    </w:p>
    <w:sectPr>
      <w:footerReference r:id="rId8" w:type="default"/>
      <w:pgSz w:w="23811" w:h="16839"/>
      <w:pgMar w:top="1431" w:right="1438" w:bottom="1169" w:left="1440" w:header="0" w:footer="91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929"/>
      <w:rPr>
        <w:rFonts w:ascii="Times New Roman" w:hAnsi="Times New Roman" w:eastAsia="宋体" w:cs="Times New Roman"/>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Arial"/>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rPr>
                        <w:rFonts w:hint="eastAsia" w:eastAsia="Arial"/>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044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Arial"/>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5"/>
                      <w:rPr>
                        <w:rFonts w:hint="eastAsia" w:eastAsia="Arial"/>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044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Arial"/>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5"/>
                      <w:rPr>
                        <w:rFonts w:hint="eastAsia" w:eastAsia="Arial"/>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9" w:lineRule="auto"/>
      <w:ind w:left="1044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Arial"/>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5"/>
                      <w:rPr>
                        <w:rFonts w:hint="eastAsia" w:eastAsia="Arial"/>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9" w:lineRule="auto"/>
      <w:ind w:left="1044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Arial"/>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pStyle w:val="5"/>
                      <w:rPr>
                        <w:rFonts w:hint="eastAsia" w:eastAsia="Arial"/>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71"/>
    <w:rsid w:val="000C0DD2"/>
    <w:rsid w:val="000F390C"/>
    <w:rsid w:val="00387371"/>
    <w:rsid w:val="004D0EBD"/>
    <w:rsid w:val="00547A45"/>
    <w:rsid w:val="005A1C2F"/>
    <w:rsid w:val="006C5F13"/>
    <w:rsid w:val="00701AC4"/>
    <w:rsid w:val="00925622"/>
    <w:rsid w:val="00936F10"/>
    <w:rsid w:val="00990F59"/>
    <w:rsid w:val="009D27F5"/>
    <w:rsid w:val="00A523A2"/>
    <w:rsid w:val="00A84084"/>
    <w:rsid w:val="00AB6E97"/>
    <w:rsid w:val="00C7743A"/>
    <w:rsid w:val="00C9766B"/>
    <w:rsid w:val="17F79072"/>
    <w:rsid w:val="1B657AD0"/>
    <w:rsid w:val="1F5FAED3"/>
    <w:rsid w:val="1FB19B17"/>
    <w:rsid w:val="28CD57B6"/>
    <w:rsid w:val="2DB9171A"/>
    <w:rsid w:val="2FB5E0A9"/>
    <w:rsid w:val="379F56C0"/>
    <w:rsid w:val="37FD5B32"/>
    <w:rsid w:val="39DE2CB1"/>
    <w:rsid w:val="3B7AD6E7"/>
    <w:rsid w:val="3FD7D5D1"/>
    <w:rsid w:val="3FF75087"/>
    <w:rsid w:val="42FF65F1"/>
    <w:rsid w:val="4577D63F"/>
    <w:rsid w:val="53BF2EAF"/>
    <w:rsid w:val="561B0A53"/>
    <w:rsid w:val="5DBD3184"/>
    <w:rsid w:val="5F5F30F2"/>
    <w:rsid w:val="6BD79742"/>
    <w:rsid w:val="6BF3B004"/>
    <w:rsid w:val="6DE8C4AD"/>
    <w:rsid w:val="6EEEE502"/>
    <w:rsid w:val="6FD9988B"/>
    <w:rsid w:val="6FF34E39"/>
    <w:rsid w:val="726F859A"/>
    <w:rsid w:val="73F97443"/>
    <w:rsid w:val="777D5BDA"/>
    <w:rsid w:val="7792CD88"/>
    <w:rsid w:val="77EEC8B6"/>
    <w:rsid w:val="77FDEBB1"/>
    <w:rsid w:val="7BFFF52B"/>
    <w:rsid w:val="7CFF78A5"/>
    <w:rsid w:val="7D7DD9B2"/>
    <w:rsid w:val="7DE678F6"/>
    <w:rsid w:val="7DFFDBE7"/>
    <w:rsid w:val="7E7E0B04"/>
    <w:rsid w:val="7F2FC720"/>
    <w:rsid w:val="7F37F620"/>
    <w:rsid w:val="7F5FA233"/>
    <w:rsid w:val="7FAF34C2"/>
    <w:rsid w:val="7FB6B6DA"/>
    <w:rsid w:val="7FBF31C0"/>
    <w:rsid w:val="7FEF954E"/>
    <w:rsid w:val="7FF797D0"/>
    <w:rsid w:val="7FFA8DC4"/>
    <w:rsid w:val="7FFBAEFF"/>
    <w:rsid w:val="87E88BEE"/>
    <w:rsid w:val="937F40D8"/>
    <w:rsid w:val="9DF7A952"/>
    <w:rsid w:val="9FFDBB49"/>
    <w:rsid w:val="A3FE845A"/>
    <w:rsid w:val="AF7260AE"/>
    <w:rsid w:val="AFFEB0B7"/>
    <w:rsid w:val="BBABAD18"/>
    <w:rsid w:val="BEBBBA79"/>
    <w:rsid w:val="BEE88B5C"/>
    <w:rsid w:val="BF7A6648"/>
    <w:rsid w:val="BFEF4A6C"/>
    <w:rsid w:val="BFFF624B"/>
    <w:rsid w:val="CD1E9A38"/>
    <w:rsid w:val="CDFBEB0D"/>
    <w:rsid w:val="D1BA0AE6"/>
    <w:rsid w:val="D5BFA553"/>
    <w:rsid w:val="D7EF16AC"/>
    <w:rsid w:val="DD7B9B61"/>
    <w:rsid w:val="DDFD10BF"/>
    <w:rsid w:val="DE0F61AA"/>
    <w:rsid w:val="DF7EB6A9"/>
    <w:rsid w:val="DF9EB7D0"/>
    <w:rsid w:val="DFBFA579"/>
    <w:rsid w:val="DFDF8FBB"/>
    <w:rsid w:val="E32E9CC3"/>
    <w:rsid w:val="E56F841E"/>
    <w:rsid w:val="E86F72F2"/>
    <w:rsid w:val="EB7ED308"/>
    <w:rsid w:val="EFE3A7ED"/>
    <w:rsid w:val="EFF71817"/>
    <w:rsid w:val="F2EF09E5"/>
    <w:rsid w:val="F5FEA13E"/>
    <w:rsid w:val="F67DA32E"/>
    <w:rsid w:val="F76E2F1D"/>
    <w:rsid w:val="F7EF1D25"/>
    <w:rsid w:val="F7FB1D00"/>
    <w:rsid w:val="F7FF05AD"/>
    <w:rsid w:val="FB3E4DEF"/>
    <w:rsid w:val="FBD96236"/>
    <w:rsid w:val="FBEB5E2B"/>
    <w:rsid w:val="FBEF3616"/>
    <w:rsid w:val="FBF7D891"/>
    <w:rsid w:val="FBFEB717"/>
    <w:rsid w:val="FCFFA979"/>
    <w:rsid w:val="FD5F317B"/>
    <w:rsid w:val="FDFED8D9"/>
    <w:rsid w:val="FE6B97DE"/>
    <w:rsid w:val="FECE8BC8"/>
    <w:rsid w:val="FEEBDBD9"/>
    <w:rsid w:val="FEFBE068"/>
    <w:rsid w:val="FEFF28BF"/>
    <w:rsid w:val="FF6FC68B"/>
    <w:rsid w:val="FFB5D22A"/>
    <w:rsid w:val="FFBFD350"/>
    <w:rsid w:val="FFF99A77"/>
    <w:rsid w:val="FFFFCD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ody Text"/>
    <w:basedOn w:val="1"/>
    <w:link w:val="15"/>
    <w:semiHidden/>
    <w:qFormat/>
    <w:uiPriority w:val="0"/>
    <w:rPr>
      <w:rFonts w:ascii="Times New Roman" w:hAnsi="Times New Roman" w:eastAsia="Times New Roman" w:cs="Times New Roman"/>
      <w:sz w:val="28"/>
      <w:szCs w:val="28"/>
    </w:rPr>
  </w:style>
  <w:style w:type="paragraph" w:styleId="4">
    <w:name w:val="Balloon Text"/>
    <w:basedOn w:val="1"/>
    <w:link w:val="21"/>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pPr>
    <w:rPr>
      <w:sz w:val="18"/>
      <w:szCs w:val="18"/>
    </w:rPr>
  </w:style>
  <w:style w:type="paragraph" w:styleId="6">
    <w:name w:val="header"/>
    <w:basedOn w:val="1"/>
    <w:link w:val="12"/>
    <w:unhideWhenUsed/>
    <w:qFormat/>
    <w:uiPriority w:val="0"/>
    <w:pPr>
      <w:tabs>
        <w:tab w:val="center" w:pos="4153"/>
        <w:tab w:val="right" w:pos="8306"/>
      </w:tabs>
      <w:jc w:val="center"/>
    </w:pPr>
    <w:rPr>
      <w:sz w:val="18"/>
      <w:szCs w:val="18"/>
    </w:rPr>
  </w:style>
  <w:style w:type="paragraph" w:styleId="7">
    <w:name w:val="toc 1"/>
    <w:basedOn w:val="1"/>
    <w:next w:val="1"/>
    <w:semiHidden/>
    <w:unhideWhenUsed/>
    <w:qFormat/>
    <w:uiPriority w:val="39"/>
  </w:style>
  <w:style w:type="paragraph" w:styleId="8">
    <w:name w:val="annotation subject"/>
    <w:basedOn w:val="2"/>
    <w:next w:val="2"/>
    <w:link w:val="20"/>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0"/>
    <w:rPr>
      <w:sz w:val="18"/>
      <w:szCs w:val="18"/>
    </w:rPr>
  </w:style>
  <w:style w:type="character" w:customStyle="1" w:styleId="13">
    <w:name w:val="页脚 字符"/>
    <w:basedOn w:val="10"/>
    <w:link w:val="5"/>
    <w:qFormat/>
    <w:uiPriority w:val="0"/>
    <w:rPr>
      <w:sz w:val="18"/>
      <w:szCs w:val="18"/>
    </w:rPr>
  </w:style>
  <w:style w:type="character" w:customStyle="1" w:styleId="14">
    <w:name w:val="批注文字 字符"/>
    <w:basedOn w:val="10"/>
    <w:link w:val="2"/>
    <w:semiHidden/>
    <w:qFormat/>
    <w:uiPriority w:val="99"/>
    <w:rPr>
      <w:rFonts w:ascii="Arial" w:hAnsi="Arial" w:eastAsia="Arial" w:cs="Arial"/>
      <w:snapToGrid w:val="0"/>
      <w:color w:val="000000"/>
      <w:kern w:val="0"/>
      <w:szCs w:val="21"/>
      <w:lang w:eastAsia="en-US"/>
    </w:rPr>
  </w:style>
  <w:style w:type="character" w:customStyle="1" w:styleId="15">
    <w:name w:val="正文文本 字符"/>
    <w:basedOn w:val="10"/>
    <w:link w:val="3"/>
    <w:semiHidden/>
    <w:qFormat/>
    <w:uiPriority w:val="0"/>
    <w:rPr>
      <w:rFonts w:ascii="Times New Roman" w:hAnsi="Times New Roman" w:eastAsia="Times New Roman" w:cs="Times New Roman"/>
      <w:snapToGrid w:val="0"/>
      <w:color w:val="000000"/>
      <w:kern w:val="0"/>
      <w:sz w:val="28"/>
      <w:szCs w:val="28"/>
      <w:lang w:eastAsia="en-US"/>
    </w:rPr>
  </w:style>
  <w:style w:type="table" w:customStyle="1" w:styleId="16">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7">
    <w:name w:val="Table Text"/>
    <w:basedOn w:val="1"/>
    <w:semiHidden/>
    <w:qFormat/>
    <w:uiPriority w:val="0"/>
  </w:style>
  <w:style w:type="paragraph" w:customStyle="1" w:styleId="18">
    <w:name w:val="WPSOffice手动目录 1"/>
    <w:qFormat/>
    <w:uiPriority w:val="0"/>
    <w:rPr>
      <w:rFonts w:ascii="Arial" w:hAnsi="Arial" w:cs="Arial" w:eastAsiaTheme="minorEastAsia"/>
      <w:kern w:val="0"/>
      <w:sz w:val="20"/>
      <w:szCs w:val="20"/>
      <w:lang w:val="en-US" w:eastAsia="zh-CN" w:bidi="ar-SA"/>
    </w:rPr>
  </w:style>
  <w:style w:type="paragraph" w:styleId="19">
    <w:name w:val="List Paragraph"/>
    <w:basedOn w:val="1"/>
    <w:unhideWhenUsed/>
    <w:qFormat/>
    <w:uiPriority w:val="99"/>
    <w:pPr>
      <w:ind w:firstLine="420" w:firstLineChars="200"/>
    </w:pPr>
  </w:style>
  <w:style w:type="character" w:customStyle="1" w:styleId="20">
    <w:name w:val="批注主题 字符"/>
    <w:basedOn w:val="14"/>
    <w:link w:val="8"/>
    <w:semiHidden/>
    <w:qFormat/>
    <w:uiPriority w:val="99"/>
    <w:rPr>
      <w:rFonts w:ascii="Arial" w:hAnsi="Arial" w:eastAsia="Arial" w:cs="Arial"/>
      <w:b/>
      <w:bCs/>
      <w:snapToGrid w:val="0"/>
      <w:color w:val="000000"/>
      <w:kern w:val="0"/>
      <w:szCs w:val="21"/>
      <w:lang w:eastAsia="en-US"/>
    </w:rPr>
  </w:style>
  <w:style w:type="character" w:customStyle="1" w:styleId="21">
    <w:name w:val="批注框文本 字符"/>
    <w:basedOn w:val="10"/>
    <w:link w:val="4"/>
    <w:semiHidden/>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17842</Words>
  <Characters>18552</Characters>
  <Lines>1</Lines>
  <Paragraphs>1</Paragraphs>
  <TotalTime>367</TotalTime>
  <ScaleCrop>false</ScaleCrop>
  <LinksUpToDate>false</LinksUpToDate>
  <CharactersWithSpaces>18678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2024-12-25T13:00:00Z</dcterms:created>
  <dc:creator>y m</dc:creator>
  <cp:lastModifiedBy>greatwall</cp:lastModifiedBy>
  <dcterms:modified xsi:type="dcterms:W3CDTF">2025-05-27T16:37:35Z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322D6BDA05A0654BBD500768A215A00F_43</vt:lpwstr>
  </property>
</Properties>
</file>