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default" w:asciiTheme="minorAscii" w:hAnsiTheme="minorAscii" w:eastAsiaTheme="minorEastAsia"/>
          <w:b/>
          <w:spacing w:val="-11"/>
          <w:sz w:val="32"/>
          <w:lang w:val="en-US" w:eastAsia="zh-CN"/>
        </w:rPr>
        <w:t>2023</w:t>
      </w:r>
      <w:r>
        <w:rPr>
          <w:rFonts w:hint="default" w:asciiTheme="minorAscii" w:hAnsiTheme="minorAscii" w:eastAsiaTheme="minorEastAsia"/>
          <w:b/>
          <w:spacing w:val="-11"/>
          <w:sz w:val="32"/>
        </w:rPr>
        <w:t>年度</w:t>
      </w:r>
      <w:r>
        <w:rPr>
          <w:rFonts w:hint="default" w:asciiTheme="minorAscii" w:hAnsiTheme="minorAscii" w:eastAsiaTheme="minorEastAsia"/>
          <w:b/>
          <w:spacing w:val="-11"/>
          <w:sz w:val="32"/>
          <w:lang w:val="en-US" w:eastAsia="zh-CN"/>
        </w:rPr>
        <w:t>芦台镇皇姑庄村、建新村建设临时污水处理设施项目</w:t>
      </w: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芦台镇皇姑庄村、建新村建设临时污水处理设施项目项目建议书的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宁审批政投</w:t>
      </w:r>
      <w:r>
        <w:rPr>
          <w:rFonts w:hint="eastAsia"/>
          <w:b w:val="0"/>
          <w:bCs/>
          <w:color w:val="auto"/>
          <w:sz w:val="28"/>
        </w:rPr>
        <w:t>〔20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35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依据宁审批政投[2020]35号立项文件批复该工程，工程主要建设内容为建设范围内的污水基础设施工程，包括污水管网及污水处理站。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200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通过本项目的实施，改善农村环境质量、保障农民身体健康，促进农村经济发展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新建污水处理设施3座、铺设管网226米、铺设管道217米。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行业执行标准、验收合格率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完工时间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：完成年度预算支出200万元。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社会效益指标：通过本项目的实施，改善农村环境质量、保障农民身体健康，促进农村经济发展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red"/>
          <w:lang w:val="en-US" w:eastAsia="zh-CN"/>
        </w:rPr>
      </w:pP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芦台镇皇姑庄村、建新村建设临时污水处理设施项目项目绩效自评得分100分，各项指标得分详见项目支出绩效自评表，其中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芦台镇皇姑庄村、建新村建设临时污水处理设施项目2023年度到位资金200万元。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新建污水处理设施</w:t>
      </w:r>
      <w:r>
        <w:rPr>
          <w:rFonts w:hint="eastAsia"/>
          <w:sz w:val="28"/>
          <w:szCs w:val="28"/>
          <w:lang w:val="en-US" w:eastAsia="zh-CN"/>
        </w:rPr>
        <w:t>3座、铺设管网226米、铺设管道217米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行业执行标准、验收合格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完工时间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color w:val="000000"/>
          <w:sz w:val="28"/>
          <w:szCs w:val="28"/>
        </w:rPr>
        <w:t>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200万元，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200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jc w:val="both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通过本项目的实施，改善农村环境质量、保障农民身体健康，促进农村经济发展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0145BA5"/>
    <w:rsid w:val="17511219"/>
    <w:rsid w:val="1B7D3ACC"/>
    <w:rsid w:val="1D6574B3"/>
    <w:rsid w:val="1E710D59"/>
    <w:rsid w:val="23ED133B"/>
    <w:rsid w:val="26E2148D"/>
    <w:rsid w:val="3FDB4B36"/>
    <w:rsid w:val="43040332"/>
    <w:rsid w:val="5F626D02"/>
    <w:rsid w:val="60046D86"/>
    <w:rsid w:val="76CC1A59"/>
    <w:rsid w:val="77B70EF4"/>
    <w:rsid w:val="79A47D28"/>
    <w:rsid w:val="7A666C01"/>
    <w:rsid w:val="7DEA2039"/>
    <w:rsid w:val="7E57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