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95D75">
      <w:pPr>
        <w:jc w:val="center"/>
        <w:rPr>
          <w:rFonts w:hint="eastAsia" w:ascii="黑体" w:hAnsi="黑体" w:eastAsia="黑体"/>
          <w:sz w:val="44"/>
          <w:szCs w:val="44"/>
          <w:highlight w:val="none"/>
        </w:rPr>
      </w:pPr>
      <w:r>
        <w:rPr>
          <w:rFonts w:hint="default" w:ascii="Times New Roman" w:hAnsi="Times New Roman" w:eastAsia="方正小标宋简体" w:cs="Times New Roman"/>
          <w:sz w:val="44"/>
          <w:szCs w:val="44"/>
        </w:rPr>
        <w:t>宁河</w:t>
      </w:r>
      <w:r>
        <w:rPr>
          <w:rFonts w:hint="default" w:ascii="Times New Roman" w:hAnsi="Times New Roman" w:eastAsia="方正小标宋简体" w:cs="Times New Roman"/>
          <w:sz w:val="44"/>
          <w:szCs w:val="44"/>
          <w:lang w:eastAsia="zh-CN"/>
        </w:rPr>
        <w:t>现代产业区天津潘庄建材有限公司</w:t>
      </w:r>
      <w:r>
        <w:rPr>
          <w:rFonts w:hint="default" w:ascii="Times New Roman" w:hAnsi="Times New Roman" w:eastAsia="方正小标宋简体" w:cs="Times New Roman"/>
          <w:sz w:val="44"/>
          <w:szCs w:val="44"/>
        </w:rPr>
        <w:t>“</w:t>
      </w:r>
      <w:r>
        <w:rPr>
          <w:rFonts w:hint="default" w:ascii="Times New Roman" w:hAnsi="Times New Roman" w:eastAsia="方正小标宋简体" w:cs="Times New Roman"/>
          <w:sz w:val="44"/>
          <w:szCs w:val="44"/>
          <w:lang w:val="en-US" w:eastAsia="zh-CN"/>
        </w:rPr>
        <w:t>4·3</w:t>
      </w:r>
      <w:r>
        <w:rPr>
          <w:rFonts w:hint="default" w:ascii="Times New Roman" w:hAnsi="Times New Roman" w:eastAsia="方正小标宋简体" w:cs="Times New Roman"/>
          <w:sz w:val="44"/>
          <w:szCs w:val="44"/>
        </w:rPr>
        <w:t>”一般</w:t>
      </w:r>
      <w:r>
        <w:rPr>
          <w:rFonts w:hint="default" w:ascii="Times New Roman" w:hAnsi="Times New Roman" w:eastAsia="方正小标宋简体" w:cs="Times New Roman"/>
          <w:sz w:val="44"/>
          <w:szCs w:val="44"/>
          <w:lang w:eastAsia="zh-CN"/>
        </w:rPr>
        <w:t>机械伤害</w:t>
      </w:r>
      <w:r>
        <w:rPr>
          <w:rFonts w:hint="default" w:ascii="Times New Roman" w:hAnsi="Times New Roman" w:eastAsia="方正小标宋简体" w:cs="Times New Roman"/>
          <w:sz w:val="44"/>
          <w:szCs w:val="44"/>
        </w:rPr>
        <w:t>事故</w:t>
      </w:r>
      <w:r>
        <w:rPr>
          <w:rFonts w:hint="eastAsia" w:ascii="方正小标宋简体" w:eastAsia="方正小标宋简体"/>
          <w:sz w:val="44"/>
          <w:szCs w:val="44"/>
          <w:highlight w:val="none"/>
        </w:rPr>
        <w:t>防范和整改措施落实情况评估报告</w:t>
      </w:r>
    </w:p>
    <w:p w14:paraId="70069E36">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sz w:val="32"/>
          <w:szCs w:val="32"/>
          <w:highlight w:val="none"/>
        </w:rPr>
      </w:pPr>
      <w:r>
        <w:rPr>
          <w:rFonts w:hint="eastAsia" w:ascii="黑体" w:hAnsi="黑体" w:eastAsia="黑体"/>
          <w:sz w:val="32"/>
          <w:szCs w:val="32"/>
          <w:highlight w:val="none"/>
          <w:lang w:eastAsia="zh-CN"/>
        </w:rPr>
        <w:t>一、</w:t>
      </w:r>
      <w:r>
        <w:rPr>
          <w:rFonts w:hint="eastAsia" w:ascii="黑体" w:hAnsi="黑体" w:eastAsia="黑体"/>
          <w:sz w:val="32"/>
          <w:szCs w:val="32"/>
          <w:highlight w:val="none"/>
        </w:rPr>
        <w:t>评估目的</w:t>
      </w:r>
    </w:p>
    <w:p w14:paraId="683A00D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bCs/>
          <w:sz w:val="32"/>
          <w:szCs w:val="32"/>
          <w:highlight w:val="none"/>
          <w:lang w:val="en-US" w:eastAsia="zh-CN"/>
        </w:rPr>
      </w:pPr>
      <w:r>
        <w:rPr>
          <w:rFonts w:hint="eastAsia" w:ascii="Times New Roman" w:hAnsi="Times New Roman" w:eastAsia="仿宋_GB2312"/>
          <w:bCs/>
          <w:sz w:val="32"/>
          <w:szCs w:val="32"/>
          <w:highlight w:val="none"/>
          <w:lang w:val="en-US" w:eastAsia="zh-CN"/>
        </w:rPr>
        <w:t>为深入贯彻落实习近平总书记关于安全生产的重要指示批示精神，认真落实市委、市政府和区委、区政府关于做好安全生产工作的部署要求，充分发挥事故调查处理对加强和改进安全生产工作的促进作用，全面掌握事故发生单位及有关部门落实事故责任追究、事故防范和整改措施落实情况、采取的具体举措以及工作成效，深刻吸取事故教训，充分发挥事故惩戒和警示作用，从根本上消除事故隐患、从根本上解决存在问题，以事故调查评估促进本地区安全生产工作。</w:t>
      </w:r>
    </w:p>
    <w:p w14:paraId="148F6CFD">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二、评估依据及职责分工</w:t>
      </w:r>
    </w:p>
    <w:p w14:paraId="2865F72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Times New Roman" w:hAnsi="Times New Roman" w:eastAsia="仿宋_GB2312"/>
          <w:bCs/>
          <w:sz w:val="32"/>
          <w:szCs w:val="32"/>
          <w:highlight w:val="none"/>
          <w:lang w:val="en-US" w:eastAsia="zh-CN"/>
        </w:rPr>
        <w:t>依据《宁河现代产业区天津潘庄建材有限公司“4·3”一般机械伤害事故调查报告》和《中共天津市委 天津市人民政府关于推进安全生产领域改革发展的实施意见》《生产安全事故防范和整改措施落实情况评估办法》和《</w:t>
      </w:r>
      <w:r>
        <w:rPr>
          <w:rFonts w:hint="eastAsia" w:ascii="仿宋_GB2312" w:hAnsi="仿宋_GB2312" w:eastAsia="仿宋_GB2312" w:cs="仿宋_GB2312"/>
          <w:b w:val="0"/>
          <w:bCs/>
          <w:color w:val="auto"/>
          <w:kern w:val="0"/>
          <w:sz w:val="32"/>
          <w:szCs w:val="32"/>
          <w:highlight w:val="none"/>
          <w:lang w:val="en-US" w:eastAsia="zh-CN" w:bidi="ar"/>
        </w:rPr>
        <w:t>市安委会办公室关于印发《天津市生产安全事故防范和整改措施落实情况评估办法》的通知》（津安办〔2022〕20号）</w:t>
      </w:r>
      <w:r>
        <w:rPr>
          <w:rFonts w:hint="eastAsia" w:ascii="Times New Roman" w:hAnsi="Times New Roman" w:eastAsia="仿宋_GB2312"/>
          <w:bCs/>
          <w:sz w:val="32"/>
          <w:szCs w:val="32"/>
          <w:highlight w:val="none"/>
          <w:lang w:val="en-US" w:eastAsia="zh-CN"/>
        </w:rPr>
        <w:t>规定，区应急局牵头成立宁河现代产业区天津潘庄建材有限公司“4·3”一般机械伤害事故评估组（以下简称事故评估组），对事故责任追究和整改措施落实情况进行评估。</w:t>
      </w:r>
      <w:r>
        <w:rPr>
          <w:rFonts w:hint="eastAsia" w:ascii="仿宋_GB2312" w:hAnsi="仿宋_GB2312" w:eastAsia="仿宋_GB2312" w:cs="仿宋_GB2312"/>
          <w:sz w:val="32"/>
          <w:szCs w:val="32"/>
          <w:highlight w:val="none"/>
        </w:rPr>
        <w:t>评估组由区应急管理局、公安</w:t>
      </w:r>
      <w:r>
        <w:rPr>
          <w:rFonts w:hint="eastAsia" w:ascii="仿宋_GB2312" w:hAnsi="仿宋_GB2312" w:eastAsia="仿宋_GB2312" w:cs="仿宋_GB2312"/>
          <w:sz w:val="32"/>
          <w:szCs w:val="32"/>
          <w:highlight w:val="none"/>
          <w:lang w:eastAsia="zh-CN"/>
        </w:rPr>
        <w:t>宁河</w:t>
      </w:r>
      <w:r>
        <w:rPr>
          <w:rFonts w:hint="eastAsia" w:ascii="仿宋_GB2312" w:hAnsi="仿宋_GB2312" w:eastAsia="仿宋_GB2312" w:cs="仿宋_GB2312"/>
          <w:sz w:val="32"/>
          <w:szCs w:val="32"/>
          <w:highlight w:val="none"/>
        </w:rPr>
        <w:t>分局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区总工会、</w:t>
      </w:r>
      <w:r>
        <w:rPr>
          <w:rFonts w:hint="eastAsia" w:ascii="仿宋_GB2312" w:hAnsi="仿宋_GB2312" w:eastAsia="仿宋_GB2312" w:cs="仿宋_GB2312"/>
          <w:sz w:val="32"/>
          <w:szCs w:val="32"/>
          <w:highlight w:val="none"/>
          <w:lang w:val="en-US" w:eastAsia="zh-CN"/>
        </w:rPr>
        <w:t>现代产业区管委会</w:t>
      </w:r>
      <w:r>
        <w:rPr>
          <w:rFonts w:hint="eastAsia" w:ascii="仿宋_GB2312" w:hAnsi="仿宋_GB2312" w:eastAsia="仿宋_GB2312" w:cs="仿宋_GB2312"/>
          <w:sz w:val="32"/>
          <w:szCs w:val="32"/>
          <w:highlight w:val="none"/>
        </w:rPr>
        <w:t>等单位</w:t>
      </w:r>
      <w:r>
        <w:rPr>
          <w:rFonts w:hint="eastAsia" w:ascii="仿宋_GB2312" w:hAnsi="仿宋_GB2312" w:eastAsia="仿宋_GB2312" w:cs="仿宋_GB2312"/>
          <w:sz w:val="32"/>
          <w:szCs w:val="32"/>
          <w:highlight w:val="none"/>
          <w:lang w:eastAsia="zh-CN"/>
        </w:rPr>
        <w:t>组成，邀请区纪委监委派员参加</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具体分工如下：</w:t>
      </w:r>
    </w:p>
    <w:p w14:paraId="4AB63D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（一）区应急管理局负责收集相关部门、事故单位依据区政府批复，对单位、人员处理及整改措施的落实情况；组织拟写评估报告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及时向社会全文公开发布。</w:t>
      </w:r>
    </w:p>
    <w:p w14:paraId="1CA8AA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）公安</w:t>
      </w:r>
      <w:r>
        <w:rPr>
          <w:rFonts w:hint="eastAsia" w:ascii="仿宋_GB2312" w:hAnsi="仿宋_GB2312" w:eastAsia="仿宋_GB2312" w:cs="仿宋_GB2312"/>
          <w:sz w:val="32"/>
          <w:szCs w:val="32"/>
          <w:highlight w:val="none"/>
          <w:lang w:eastAsia="zh-CN"/>
        </w:rPr>
        <w:t>宁河</w:t>
      </w:r>
      <w:r>
        <w:rPr>
          <w:rFonts w:hint="eastAsia" w:ascii="仿宋_GB2312" w:hAnsi="仿宋_GB2312" w:eastAsia="仿宋_GB2312" w:cs="仿宋_GB2312"/>
          <w:sz w:val="32"/>
          <w:szCs w:val="32"/>
          <w:highlight w:val="none"/>
        </w:rPr>
        <w:t>分局负责递交事故相关责任人员刑事责任追究情况；参与拟写评估报告。</w:t>
      </w:r>
    </w:p>
    <w:p w14:paraId="3AF222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）区总工会负责监督整改措施落实、职工劳动保护等情况；参与拟写评估报告。</w:t>
      </w:r>
    </w:p>
    <w:p w14:paraId="6E2AF7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现代产业区管委会</w:t>
      </w:r>
      <w:r>
        <w:rPr>
          <w:rFonts w:hint="eastAsia" w:ascii="仿宋_GB2312" w:hAnsi="仿宋_GB2312" w:eastAsia="仿宋_GB2312" w:cs="仿宋_GB2312"/>
          <w:sz w:val="32"/>
          <w:szCs w:val="32"/>
          <w:highlight w:val="none"/>
        </w:rPr>
        <w:t>负责递交本地区落实区政府批复中相关行政处理及整改措施的落实情况；协调相关事故单位配合现场核查工作；参与拟写评估报告。</w:t>
      </w:r>
    </w:p>
    <w:p w14:paraId="7E05B4C6">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三、事故调查处理情况</w:t>
      </w:r>
    </w:p>
    <w:p w14:paraId="0C18D157">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事故发生时,有报警、接警信息传送、联动、启动现场应急救援;事故发生后经过</w:t>
      </w:r>
      <w:r>
        <w:rPr>
          <w:rFonts w:hint="eastAsia" w:ascii="仿宋_GB2312" w:hAnsi="仿宋_GB2312" w:eastAsia="仿宋_GB2312" w:cs="仿宋_GB2312"/>
          <w:bCs/>
          <w:sz w:val="32"/>
          <w:szCs w:val="32"/>
          <w:highlight w:val="none"/>
          <w:lang w:eastAsia="zh-CN"/>
        </w:rPr>
        <w:t>区</w:t>
      </w:r>
      <w:r>
        <w:rPr>
          <w:rFonts w:hint="eastAsia" w:ascii="仿宋_GB2312" w:hAnsi="仿宋_GB2312" w:eastAsia="仿宋_GB2312" w:cs="仿宋_GB2312"/>
          <w:bCs/>
          <w:sz w:val="32"/>
          <w:szCs w:val="32"/>
          <w:highlight w:val="none"/>
        </w:rPr>
        <w:t>政府批准成立事故调查组,按照职责分工进行调查取证,派员到现场勘查,进行物证提取、收集资料,并对相关人员进行询问笔录。调查组成员开会讨论研究分析事故发生的原因,确定事故性质、责任人员和责任单位,道究事故责任,并吸取事故教训提出事故整改防范措施,形成事故调查报告。将事故调查报告提交给本级人民政府批复,对相关责任人员和单位依法处理,落实整改防范措施,最后结案归档。</w:t>
      </w:r>
    </w:p>
    <w:p w14:paraId="429965EE">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四、评估部署工作</w:t>
      </w:r>
    </w:p>
    <w:p w14:paraId="6275763A">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heme="minorBidi"/>
          <w:bCs/>
          <w:kern w:val="2"/>
          <w:sz w:val="32"/>
          <w:szCs w:val="32"/>
          <w:highlight w:val="none"/>
          <w:lang w:val="en-US" w:eastAsia="zh-CN" w:bidi="ar-SA"/>
        </w:rPr>
      </w:pPr>
      <w:r>
        <w:rPr>
          <w:rFonts w:hint="eastAsia" w:ascii="Times New Roman" w:hAnsi="Times New Roman" w:eastAsia="仿宋_GB2312" w:cstheme="minorBidi"/>
          <w:bCs/>
          <w:kern w:val="2"/>
          <w:sz w:val="32"/>
          <w:szCs w:val="32"/>
          <w:highlight w:val="none"/>
          <w:lang w:val="en-US" w:eastAsia="zh-CN" w:bidi="ar-SA"/>
        </w:rPr>
        <w:t>2025年5月20日，区应急管理局牵头公安宁河分局、区总工会和现代产业区管委会组成了事故评估组，并邀请区纪委监委参加评估工作。评估组以《事故调查报告》为依据，按照“四不放过”和科学严谨、依法依规、实事求是、注重实效的原则，制定了工作方案。评估组分别前往现代产业区管委会和</w:t>
      </w:r>
      <w:r>
        <w:rPr>
          <w:rFonts w:hint="default" w:ascii="Times New Roman" w:hAnsi="Times New Roman" w:eastAsia="仿宋_GB2312" w:cs="Times New Roman"/>
          <w:sz w:val="32"/>
          <w:szCs w:val="32"/>
          <w:lang w:eastAsia="zh-CN"/>
        </w:rPr>
        <w:t>天津潘庄建材有限公司</w:t>
      </w:r>
      <w:r>
        <w:rPr>
          <w:rFonts w:hint="eastAsia" w:ascii="Times New Roman" w:hAnsi="Times New Roman" w:eastAsia="仿宋_GB2312" w:cstheme="minorBidi"/>
          <w:bCs/>
          <w:kern w:val="2"/>
          <w:sz w:val="32"/>
          <w:szCs w:val="32"/>
          <w:highlight w:val="none"/>
          <w:lang w:val="en-US" w:eastAsia="zh-CN" w:bidi="ar-SA"/>
        </w:rPr>
        <w:t>进行现场评估，通过现场勘查、查阅文档、询问有关人员等方式了解了相关单位在事故</w:t>
      </w:r>
      <w:bookmarkStart w:id="0" w:name="_GoBack"/>
      <w:bookmarkEnd w:id="0"/>
      <w:r>
        <w:rPr>
          <w:rFonts w:hint="eastAsia" w:ascii="Times New Roman" w:hAnsi="Times New Roman" w:eastAsia="仿宋_GB2312" w:cstheme="minorBidi"/>
          <w:bCs/>
          <w:kern w:val="2"/>
          <w:sz w:val="32"/>
          <w:szCs w:val="32"/>
          <w:highlight w:val="none"/>
          <w:lang w:val="en-US" w:eastAsia="zh-CN" w:bidi="ar-SA"/>
        </w:rPr>
        <w:t>发生后整改措施落实情况，并收集了相关资料，完成了评估工作。</w:t>
      </w:r>
    </w:p>
    <w:p w14:paraId="262C3DE6">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五、评估事项及结论</w:t>
      </w:r>
    </w:p>
    <w:p w14:paraId="627A95DD">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eastAsia="楷体_GB2312"/>
          <w:b/>
          <w:bCs/>
          <w:sz w:val="32"/>
          <w:highlight w:val="none"/>
        </w:rPr>
      </w:pPr>
      <w:r>
        <w:rPr>
          <w:rFonts w:hint="eastAsia" w:ascii="楷体_GB2312" w:hAnsi="Times New Roman" w:eastAsia="楷体_GB2312"/>
          <w:b/>
          <w:bCs/>
          <w:sz w:val="32"/>
          <w:szCs w:val="32"/>
          <w:highlight w:val="none"/>
        </w:rPr>
        <w:t>（一）</w:t>
      </w:r>
      <w:r>
        <w:rPr>
          <w:rFonts w:ascii="楷体_GB2312" w:eastAsia="楷体_GB2312"/>
          <w:b/>
          <w:bCs/>
          <w:sz w:val="32"/>
          <w:highlight w:val="none"/>
        </w:rPr>
        <w:t>行政处罚落实情况</w:t>
      </w:r>
    </w:p>
    <w:p w14:paraId="3CB74AE7">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eastAsia="仿宋_GB2312"/>
          <w:b w:val="0"/>
          <w:bCs/>
          <w:sz w:val="32"/>
          <w:szCs w:val="32"/>
          <w:highlight w:val="none"/>
          <w:lang w:val="en-US" w:eastAsia="zh-CN"/>
        </w:rPr>
      </w:pPr>
      <w:r>
        <w:rPr>
          <w:rFonts w:hint="eastAsia" w:ascii="仿宋_GB2312" w:eastAsia="仿宋_GB2312"/>
          <w:b w:val="0"/>
          <w:bCs/>
          <w:sz w:val="32"/>
          <w:szCs w:val="32"/>
          <w:highlight w:val="none"/>
          <w:lang w:eastAsia="zh-CN"/>
        </w:rPr>
        <w:t>落实情况：</w:t>
      </w:r>
      <w:r>
        <w:rPr>
          <w:rFonts w:hint="default" w:ascii="Times New Roman" w:hAnsi="Times New Roman" w:eastAsia="仿宋_GB2312" w:cs="Times New Roman"/>
          <w:sz w:val="32"/>
          <w:szCs w:val="32"/>
          <w:lang w:eastAsia="zh-CN"/>
        </w:rPr>
        <w:t>天津潘庄建材有限公司</w:t>
      </w:r>
      <w:r>
        <w:rPr>
          <w:rFonts w:hint="eastAsia" w:ascii="Times New Roman" w:hAnsi="Times New Roman" w:eastAsia="仿宋_GB2312"/>
          <w:bCs/>
          <w:sz w:val="32"/>
          <w:szCs w:val="32"/>
          <w:highlight w:val="none"/>
          <w:lang w:val="en-US" w:eastAsia="zh-CN"/>
        </w:rPr>
        <w:t>罚款已缴纳；</w:t>
      </w:r>
      <w:r>
        <w:rPr>
          <w:rFonts w:hint="default" w:ascii="Times New Roman" w:hAnsi="Times New Roman" w:eastAsia="仿宋_GB2312" w:cs="Times New Roman"/>
          <w:sz w:val="32"/>
          <w:szCs w:val="32"/>
          <w:lang w:eastAsia="zh-CN"/>
        </w:rPr>
        <w:t>天津潘庄建材有限公司</w:t>
      </w:r>
      <w:r>
        <w:rPr>
          <w:rFonts w:hint="eastAsia" w:ascii="Times New Roman" w:hAnsi="Times New Roman" w:eastAsia="仿宋_GB2312"/>
          <w:bCs/>
          <w:sz w:val="32"/>
          <w:szCs w:val="32"/>
          <w:highlight w:val="none"/>
          <w:lang w:val="en-US" w:eastAsia="zh-CN"/>
        </w:rPr>
        <w:t>主要负责人</w:t>
      </w:r>
      <w:r>
        <w:rPr>
          <w:rFonts w:hint="default" w:ascii="Times New Roman" w:hAnsi="Times New Roman" w:eastAsia="仿宋_GB2312" w:cs="Times New Roman"/>
          <w:sz w:val="32"/>
          <w:szCs w:val="32"/>
          <w:lang w:val="en" w:eastAsia="zh-CN"/>
        </w:rPr>
        <w:t>韩洪帅</w:t>
      </w:r>
      <w:r>
        <w:rPr>
          <w:rFonts w:hint="eastAsia" w:ascii="Times New Roman" w:hAnsi="Times New Roman" w:eastAsia="仿宋_GB2312"/>
          <w:bCs/>
          <w:sz w:val="32"/>
          <w:szCs w:val="32"/>
          <w:highlight w:val="none"/>
          <w:lang w:val="en-US" w:eastAsia="zh-CN"/>
        </w:rPr>
        <w:t>罚款已缴纳。</w:t>
      </w:r>
    </w:p>
    <w:p w14:paraId="2B92F6AE">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bCs/>
          <w:sz w:val="32"/>
          <w:szCs w:val="32"/>
          <w:highlight w:val="none"/>
        </w:rPr>
      </w:pPr>
      <w:r>
        <w:rPr>
          <w:rFonts w:hint="eastAsia" w:ascii="Times New Roman" w:hAnsi="Times New Roman" w:eastAsia="仿宋_GB2312"/>
          <w:b w:val="0"/>
          <w:bCs/>
          <w:sz w:val="32"/>
          <w:szCs w:val="32"/>
          <w:highlight w:val="none"/>
        </w:rPr>
        <w:t>评估结论：对</w:t>
      </w:r>
      <w:r>
        <w:rPr>
          <w:rFonts w:hint="default" w:ascii="Times New Roman" w:hAnsi="Times New Roman" w:eastAsia="仿宋_GB2312" w:cs="Times New Roman"/>
          <w:sz w:val="32"/>
          <w:szCs w:val="32"/>
          <w:lang w:eastAsia="zh-CN"/>
        </w:rPr>
        <w:t>天津潘庄建材有限公司</w:t>
      </w:r>
      <w:r>
        <w:rPr>
          <w:rFonts w:hint="eastAsia" w:ascii="Times New Roman" w:hAnsi="Times New Roman" w:eastAsia="仿宋_GB2312"/>
          <w:bCs/>
          <w:sz w:val="32"/>
          <w:szCs w:val="32"/>
          <w:highlight w:val="none"/>
        </w:rPr>
        <w:t>及</w:t>
      </w:r>
      <w:r>
        <w:rPr>
          <w:rFonts w:hint="default" w:ascii="Times New Roman" w:hAnsi="Times New Roman" w:eastAsia="仿宋_GB2312" w:cs="Times New Roman"/>
          <w:sz w:val="32"/>
          <w:szCs w:val="32"/>
          <w:lang w:val="en" w:eastAsia="zh-CN"/>
        </w:rPr>
        <w:t>韩洪帅</w:t>
      </w:r>
      <w:r>
        <w:rPr>
          <w:rFonts w:hint="eastAsia" w:ascii="Times New Roman" w:hAnsi="Times New Roman" w:eastAsia="仿宋_GB2312"/>
          <w:bCs/>
          <w:sz w:val="32"/>
          <w:szCs w:val="32"/>
          <w:highlight w:val="none"/>
        </w:rPr>
        <w:t>的行政处罚已落实。</w:t>
      </w:r>
    </w:p>
    <w:p w14:paraId="43E9AE92">
      <w:pPr>
        <w:keepNext w:val="0"/>
        <w:keepLines w:val="0"/>
        <w:pageBreakBefore w:val="0"/>
        <w:widowControl w:val="0"/>
        <w:kinsoku/>
        <w:wordWrap/>
        <w:overflowPunct/>
        <w:topLinePunct w:val="0"/>
        <w:bidi w:val="0"/>
        <w:snapToGrid/>
        <w:spacing w:line="560" w:lineRule="exact"/>
        <w:ind w:firstLine="643" w:firstLineChars="200"/>
        <w:jc w:val="left"/>
        <w:textAlignment w:val="auto"/>
        <w:rPr>
          <w:rFonts w:hint="eastAsia" w:ascii="楷体_GB2312" w:eastAsia="楷体_GB2312"/>
          <w:b/>
          <w:bCs w:val="0"/>
          <w:sz w:val="32"/>
          <w:highlight w:val="none"/>
        </w:rPr>
      </w:pPr>
      <w:r>
        <w:rPr>
          <w:rFonts w:hint="eastAsia" w:ascii="楷体_GB2312" w:eastAsia="楷体_GB2312"/>
          <w:b/>
          <w:bCs w:val="0"/>
          <w:sz w:val="32"/>
          <w:highlight w:val="none"/>
        </w:rPr>
        <w:t>（</w:t>
      </w:r>
      <w:r>
        <w:rPr>
          <w:rFonts w:hint="eastAsia" w:ascii="楷体_GB2312" w:eastAsia="楷体_GB2312"/>
          <w:b/>
          <w:bCs w:val="0"/>
          <w:sz w:val="32"/>
          <w:highlight w:val="none"/>
          <w:lang w:eastAsia="zh-CN"/>
        </w:rPr>
        <w:t>二</w:t>
      </w:r>
      <w:r>
        <w:rPr>
          <w:rFonts w:hint="eastAsia" w:ascii="楷体_GB2312" w:eastAsia="楷体_GB2312"/>
          <w:b/>
          <w:bCs w:val="0"/>
          <w:sz w:val="32"/>
          <w:highlight w:val="none"/>
        </w:rPr>
        <w:t>）</w:t>
      </w:r>
      <w:r>
        <w:rPr>
          <w:rFonts w:ascii="楷体_GB2312" w:eastAsia="楷体_GB2312"/>
          <w:b/>
          <w:bCs w:val="0"/>
          <w:sz w:val="32"/>
          <w:highlight w:val="none"/>
        </w:rPr>
        <w:t>事故防范和整改措施落实情况</w:t>
      </w:r>
    </w:p>
    <w:p w14:paraId="24E54F19">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Times New Roman" w:hAnsi="Times New Roman" w:eastAsia="仿宋_GB2312"/>
          <w:bCs/>
          <w:sz w:val="32"/>
          <w:szCs w:val="32"/>
          <w:highlight w:val="none"/>
          <w:lang w:eastAsia="zh-CN"/>
        </w:rPr>
      </w:pPr>
      <w:r>
        <w:rPr>
          <w:rFonts w:hint="eastAsia" w:ascii="Times New Roman" w:hAnsi="Times New Roman" w:eastAsia="仿宋_GB2312"/>
          <w:bCs/>
          <w:sz w:val="32"/>
          <w:szCs w:val="32"/>
          <w:highlight w:val="none"/>
          <w:lang w:val="en-US" w:eastAsia="zh-CN"/>
        </w:rPr>
        <w:t>1.</w:t>
      </w:r>
      <w:r>
        <w:rPr>
          <w:rFonts w:hint="default" w:ascii="Times New Roman" w:hAnsi="Times New Roman" w:eastAsia="仿宋_GB2312" w:cs="Times New Roman"/>
          <w:sz w:val="32"/>
          <w:szCs w:val="32"/>
          <w:lang w:eastAsia="zh-CN"/>
        </w:rPr>
        <w:t>天津潘庄建材有限公司</w:t>
      </w:r>
      <w:r>
        <w:rPr>
          <w:rFonts w:hint="eastAsia" w:ascii="Times New Roman" w:hAnsi="Times New Roman" w:eastAsia="仿宋_GB2312"/>
          <w:bCs/>
          <w:sz w:val="32"/>
          <w:szCs w:val="32"/>
          <w:highlight w:val="none"/>
          <w:lang w:val="en-US" w:eastAsia="zh-CN"/>
        </w:rPr>
        <w:t>：事故发生后，该公司立即组织全体员工召开警示教育大会，吸取事故教训，</w:t>
      </w:r>
      <w:r>
        <w:rPr>
          <w:rFonts w:hint="default" w:ascii="Times New Roman" w:hAnsi="Times New Roman" w:eastAsia="仿宋_GB2312" w:cs="Times New Roman"/>
          <w:color w:val="000000"/>
          <w:sz w:val="32"/>
          <w:szCs w:val="32"/>
          <w:lang w:val="en-US" w:eastAsia="zh-CN"/>
        </w:rPr>
        <w:t>以事故暴露出的安全操作规程制定不到位、安全培训教育落实不到位、隐患排查治理不到位等问题为切入点，对照《中华人民共和国安全生产法》《天津市生产经营单位安全生产主体责任规定》等法律法规开展全面自查，开展全员安全生产教育，细化安全生产管理，完善作业过程监管，“软件”“硬件”两手抓，以此为契机提升安全生产水平，落实安全生产主体责任。</w:t>
      </w:r>
      <w:r>
        <w:rPr>
          <w:rFonts w:hint="eastAsia" w:ascii="Times New Roman" w:hAnsi="Times New Roman" w:eastAsia="仿宋_GB2312"/>
          <w:bCs/>
          <w:sz w:val="32"/>
          <w:szCs w:val="32"/>
          <w:highlight w:val="none"/>
          <w:lang w:val="en-US" w:eastAsia="zh-CN"/>
        </w:rPr>
        <w:t>2.现代产业区管委会</w:t>
      </w:r>
      <w:r>
        <w:rPr>
          <w:rFonts w:hint="eastAsia" w:ascii="Times New Roman" w:hAnsi="Times New Roman" w:eastAsia="仿宋_GB2312"/>
          <w:bCs/>
          <w:sz w:val="32"/>
          <w:szCs w:val="32"/>
          <w:highlight w:val="none"/>
          <w:lang w:eastAsia="zh-CN"/>
        </w:rPr>
        <w:t>：事故发生后，园区管委会立即</w:t>
      </w:r>
      <w:r>
        <w:rPr>
          <w:rFonts w:hint="default" w:ascii="Times New Roman" w:hAnsi="Times New Roman" w:eastAsia="仿宋_GB2312" w:cs="Times New Roman"/>
          <w:color w:val="000000"/>
          <w:sz w:val="32"/>
          <w:szCs w:val="32"/>
          <w:lang w:val="en-US" w:eastAsia="zh-CN"/>
        </w:rPr>
        <w:t>组织辖区工贸企业召开安全警示教育大会,传达事故案例，宣贯工贸企业“十项禁令”。深化企业安全监管，以安全生产治本攻坚三年行动为纲，分析研判辖区内企业安全风险，组织业务骨干、专家团队对企业进行“把脉问诊”，深查企业重点工艺岗位，深挖企业涉重大事故隐患场所，提出行之有效的解决措施，确保辖区内安全生产形势稳定向好。</w:t>
      </w:r>
    </w:p>
    <w:p w14:paraId="62925DEF">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评估结论：各相关单位对事故调查报告中的事故防范和整改措施已落实。</w:t>
      </w:r>
    </w:p>
    <w:p w14:paraId="74F3BBB4">
      <w:pPr>
        <w:keepNext w:val="0"/>
        <w:keepLines w:val="0"/>
        <w:pageBreakBefore w:val="0"/>
        <w:widowControl w:val="0"/>
        <w:kinsoku/>
        <w:wordWrap/>
        <w:overflowPunct/>
        <w:topLinePunct w:val="0"/>
        <w:bidi w:val="0"/>
        <w:snapToGrid/>
        <w:jc w:val="left"/>
        <w:textAlignment w:val="auto"/>
        <w:rPr>
          <w:rFonts w:hint="eastAsia" w:ascii="Times New Roman" w:hAnsi="Times New Roman" w:eastAsia="仿宋_GB2312"/>
          <w:bCs/>
          <w:sz w:val="32"/>
          <w:szCs w:val="32"/>
          <w:highlight w:val="none"/>
        </w:rPr>
      </w:pPr>
    </w:p>
    <w:sectPr>
      <w:pgSz w:w="11906" w:h="16838"/>
      <w:pgMar w:top="1440" w:right="1803" w:bottom="1440" w:left="180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8FA381-AF81-4310-800E-A5E1A0438C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810EEA54-93BD-42FF-BB0F-5C6F0F08C6E4}"/>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C307B150-6E8D-4B5D-963F-0CF019BEF1DB}"/>
  </w:font>
  <w:font w:name="楷体_GB2312">
    <w:altName w:val="楷体"/>
    <w:panose1 w:val="02010609030101010101"/>
    <w:charset w:val="86"/>
    <w:family w:val="modern"/>
    <w:pitch w:val="default"/>
    <w:sig w:usb0="00000000" w:usb1="00000000" w:usb2="00000000" w:usb3="00000000" w:csb0="00040000" w:csb1="00000000"/>
    <w:embedRegular r:id="rId4" w:fontKey="{AA05EBF9-70F1-43D1-8273-87E07D3C0E1C}"/>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GFjM2ZkMjhiYTdlMzE0Yjk2MjU4NGE5OGRmMTIifQ=="/>
  </w:docVars>
  <w:rsids>
    <w:rsidRoot w:val="00E100FA"/>
    <w:rsid w:val="00206181"/>
    <w:rsid w:val="00271C4E"/>
    <w:rsid w:val="002E694A"/>
    <w:rsid w:val="00310517"/>
    <w:rsid w:val="004C4159"/>
    <w:rsid w:val="0052487C"/>
    <w:rsid w:val="007166CB"/>
    <w:rsid w:val="009231BB"/>
    <w:rsid w:val="009A7EDA"/>
    <w:rsid w:val="009D16D0"/>
    <w:rsid w:val="00A467BB"/>
    <w:rsid w:val="00B75DC8"/>
    <w:rsid w:val="00C76974"/>
    <w:rsid w:val="00C8546A"/>
    <w:rsid w:val="00E100FA"/>
    <w:rsid w:val="0747427C"/>
    <w:rsid w:val="0CCA2D7E"/>
    <w:rsid w:val="23FB8331"/>
    <w:rsid w:val="2B7C7C12"/>
    <w:rsid w:val="32FFD791"/>
    <w:rsid w:val="377B4E35"/>
    <w:rsid w:val="39FFEA8E"/>
    <w:rsid w:val="3AAA293E"/>
    <w:rsid w:val="3ED327FB"/>
    <w:rsid w:val="3FBD9B78"/>
    <w:rsid w:val="3FFCDD94"/>
    <w:rsid w:val="46DFAF58"/>
    <w:rsid w:val="4B3290ED"/>
    <w:rsid w:val="4F2F194F"/>
    <w:rsid w:val="5A2FF9E2"/>
    <w:rsid w:val="5BBF1FCC"/>
    <w:rsid w:val="5BEF8239"/>
    <w:rsid w:val="5D010085"/>
    <w:rsid w:val="5D77CB03"/>
    <w:rsid w:val="5DE277F8"/>
    <w:rsid w:val="5EF70A68"/>
    <w:rsid w:val="5F1FF354"/>
    <w:rsid w:val="5F6EE1D3"/>
    <w:rsid w:val="5FBFDB56"/>
    <w:rsid w:val="5FE74565"/>
    <w:rsid w:val="62CECBA0"/>
    <w:rsid w:val="6BF082B8"/>
    <w:rsid w:val="6FDFA3F3"/>
    <w:rsid w:val="6FF72BB1"/>
    <w:rsid w:val="76DD1BEC"/>
    <w:rsid w:val="76EBA425"/>
    <w:rsid w:val="775F1450"/>
    <w:rsid w:val="77EB70E4"/>
    <w:rsid w:val="77EE6F6D"/>
    <w:rsid w:val="77F56108"/>
    <w:rsid w:val="7B7718E1"/>
    <w:rsid w:val="7BCF6C95"/>
    <w:rsid w:val="7BDECD58"/>
    <w:rsid w:val="7BFB03F6"/>
    <w:rsid w:val="7CBB1ECE"/>
    <w:rsid w:val="7CBBDB19"/>
    <w:rsid w:val="7D7ECEA8"/>
    <w:rsid w:val="7DBFE66D"/>
    <w:rsid w:val="7DFF7CEA"/>
    <w:rsid w:val="7F37BCD8"/>
    <w:rsid w:val="7FACD1A2"/>
    <w:rsid w:val="7FBFC950"/>
    <w:rsid w:val="7FCF8257"/>
    <w:rsid w:val="7FDF9A21"/>
    <w:rsid w:val="7FEF5A8E"/>
    <w:rsid w:val="7FF69FB8"/>
    <w:rsid w:val="7FFECED3"/>
    <w:rsid w:val="8EBFCFF3"/>
    <w:rsid w:val="A7561DBA"/>
    <w:rsid w:val="A9B35B90"/>
    <w:rsid w:val="AE7564C8"/>
    <w:rsid w:val="AFFFD709"/>
    <w:rsid w:val="B2DBD241"/>
    <w:rsid w:val="B3BF1793"/>
    <w:rsid w:val="B3DF56A9"/>
    <w:rsid w:val="B96998C6"/>
    <w:rsid w:val="BD9FA29E"/>
    <w:rsid w:val="BF9F5916"/>
    <w:rsid w:val="BFBEB3D7"/>
    <w:rsid w:val="BFBFBB5D"/>
    <w:rsid w:val="C5FDE061"/>
    <w:rsid w:val="C7FEFD56"/>
    <w:rsid w:val="CFFF2D7C"/>
    <w:rsid w:val="D7F9687B"/>
    <w:rsid w:val="DB2117CB"/>
    <w:rsid w:val="DBEB40AE"/>
    <w:rsid w:val="DDBF6149"/>
    <w:rsid w:val="DFBD161B"/>
    <w:rsid w:val="DFC90D33"/>
    <w:rsid w:val="DFF7B7B0"/>
    <w:rsid w:val="DFFFA26D"/>
    <w:rsid w:val="E3D7AC01"/>
    <w:rsid w:val="E6D39C7B"/>
    <w:rsid w:val="EADF0ABF"/>
    <w:rsid w:val="F05FFE24"/>
    <w:rsid w:val="F37D3659"/>
    <w:rsid w:val="F38F4771"/>
    <w:rsid w:val="F3FFAE5E"/>
    <w:rsid w:val="F76EC874"/>
    <w:rsid w:val="F7FF55D5"/>
    <w:rsid w:val="FAB1B2C0"/>
    <w:rsid w:val="FB8B0F15"/>
    <w:rsid w:val="FBED4C20"/>
    <w:rsid w:val="FF6F8820"/>
    <w:rsid w:val="FF9BEEAB"/>
    <w:rsid w:val="FFBF662F"/>
    <w:rsid w:val="FFDFE651"/>
    <w:rsid w:val="FFEE2926"/>
    <w:rsid w:val="FFF39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jc w:val="center"/>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200" w:lineRule="exact"/>
      <w:outlineLvl w:val="0"/>
    </w:pPr>
    <w:rPr>
      <w:rFonts w:ascii="仿宋_GB2312" w:eastAsia="宋体"/>
      <w:b/>
      <w:bCs/>
      <w:kern w:val="44"/>
      <w:sz w:val="24"/>
    </w:rPr>
  </w:style>
  <w:style w:type="paragraph" w:styleId="3">
    <w:name w:val="heading 2"/>
    <w:basedOn w:val="1"/>
    <w:next w:val="1"/>
    <w:link w:val="16"/>
    <w:unhideWhenUsed/>
    <w:qFormat/>
    <w:uiPriority w:val="9"/>
    <w:pPr>
      <w:keepNext/>
      <w:keepLines/>
      <w:spacing w:before="260" w:after="260" w:line="200" w:lineRule="exact"/>
      <w:outlineLvl w:val="1"/>
    </w:pPr>
    <w:rPr>
      <w:rFonts w:eastAsia="宋体" w:asciiTheme="majorHAnsi" w:hAnsiTheme="majorHAnsi" w:cstheme="majorBidi"/>
      <w:bCs/>
    </w:rPr>
  </w:style>
  <w:style w:type="paragraph" w:styleId="4">
    <w:name w:val="heading 3"/>
    <w:basedOn w:val="1"/>
    <w:next w:val="1"/>
    <w:link w:val="17"/>
    <w:unhideWhenUsed/>
    <w:qFormat/>
    <w:uiPriority w:val="9"/>
    <w:pPr>
      <w:keepNext/>
      <w:keepLines/>
      <w:spacing w:before="260" w:after="260" w:line="200" w:lineRule="exact"/>
      <w:outlineLvl w:val="2"/>
    </w:pPr>
    <w:rPr>
      <w:rFonts w:eastAsia="宋体"/>
      <w:bCs/>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18"/>
    <w:semiHidden/>
    <w:unhideWhenUsed/>
    <w:qFormat/>
    <w:uiPriority w:val="99"/>
    <w:pPr>
      <w:spacing w:after="120"/>
      <w:ind w:left="420" w:leftChars="200"/>
    </w:p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2"/>
    <w:basedOn w:val="5"/>
    <w:link w:val="19"/>
    <w:unhideWhenUsed/>
    <w:qFormat/>
    <w:uiPriority w:val="0"/>
    <w:pPr>
      <w:widowControl w:val="0"/>
      <w:spacing w:line="240" w:lineRule="auto"/>
      <w:ind w:firstLine="420" w:firstLineChars="200"/>
      <w:jc w:val="both"/>
    </w:pPr>
    <w:rPr>
      <w:rFonts w:ascii="Calibri" w:hAnsi="Calibri" w:eastAsia="宋体" w:cs="Calibri"/>
      <w:szCs w:val="24"/>
    </w:rPr>
  </w:style>
  <w:style w:type="character" w:styleId="11">
    <w:name w:val="Strong"/>
    <w:basedOn w:val="10"/>
    <w:qFormat/>
    <w:uiPriority w:val="22"/>
    <w:rPr>
      <w:b/>
    </w:rPr>
  </w:style>
  <w:style w:type="paragraph" w:customStyle="1" w:styleId="12">
    <w:name w:val="BodyText1I2"/>
    <w:basedOn w:val="13"/>
    <w:qFormat/>
    <w:uiPriority w:val="0"/>
    <w:pPr>
      <w:ind w:left="0" w:leftChars="0" w:firstLine="210"/>
    </w:pPr>
    <w:rPr>
      <w:sz w:val="24"/>
      <w:lang w:bidi="zh-CN"/>
    </w:rPr>
  </w:style>
  <w:style w:type="paragraph" w:customStyle="1" w:styleId="13">
    <w:name w:val="BodyTextIndent"/>
    <w:basedOn w:val="1"/>
    <w:qFormat/>
    <w:uiPriority w:val="0"/>
    <w:pPr>
      <w:spacing w:after="120"/>
      <w:ind w:left="420" w:leftChars="200"/>
    </w:pPr>
  </w:style>
  <w:style w:type="paragraph" w:customStyle="1" w:styleId="14">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5">
    <w:name w:val="标题 1 Char"/>
    <w:basedOn w:val="10"/>
    <w:link w:val="2"/>
    <w:qFormat/>
    <w:uiPriority w:val="9"/>
    <w:rPr>
      <w:rFonts w:ascii="仿宋_GB2312" w:eastAsia="宋体"/>
      <w:b/>
      <w:bCs/>
      <w:kern w:val="44"/>
      <w:sz w:val="24"/>
    </w:rPr>
  </w:style>
  <w:style w:type="character" w:customStyle="1" w:styleId="16">
    <w:name w:val="标题 2 Char"/>
    <w:basedOn w:val="10"/>
    <w:link w:val="3"/>
    <w:qFormat/>
    <w:uiPriority w:val="9"/>
    <w:rPr>
      <w:rFonts w:eastAsia="宋体" w:asciiTheme="majorHAnsi" w:hAnsiTheme="majorHAnsi" w:cstheme="majorBidi"/>
      <w:bCs/>
    </w:rPr>
  </w:style>
  <w:style w:type="character" w:customStyle="1" w:styleId="17">
    <w:name w:val="标题 3 Char"/>
    <w:basedOn w:val="10"/>
    <w:link w:val="4"/>
    <w:qFormat/>
    <w:uiPriority w:val="9"/>
    <w:rPr>
      <w:rFonts w:eastAsia="宋体"/>
      <w:bCs/>
    </w:rPr>
  </w:style>
  <w:style w:type="character" w:customStyle="1" w:styleId="18">
    <w:name w:val="正文文本缩进 Char"/>
    <w:basedOn w:val="10"/>
    <w:link w:val="5"/>
    <w:semiHidden/>
    <w:qFormat/>
    <w:uiPriority w:val="99"/>
  </w:style>
  <w:style w:type="character" w:customStyle="1" w:styleId="19">
    <w:name w:val="正文首行缩进 2 Char"/>
    <w:basedOn w:val="18"/>
    <w:link w:val="8"/>
    <w:qFormat/>
    <w:uiPriority w:val="0"/>
    <w:rPr>
      <w:rFonts w:ascii="Calibri" w:hAnsi="Calibri" w:eastAsia="宋体" w:cs="Calibri"/>
      <w:szCs w:val="24"/>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1732</Words>
  <Characters>1747</Characters>
  <Lines>3</Lines>
  <Paragraphs>1</Paragraphs>
  <TotalTime>0</TotalTime>
  <ScaleCrop>false</ScaleCrop>
  <LinksUpToDate>false</LinksUpToDate>
  <CharactersWithSpaces>1748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2020-06-23T00:18:00Z</dcterms:created>
  <dc:creator>高正斌</dc:creator>
  <cp:lastModifiedBy>曾嘉 15332140501</cp:lastModifiedBy>
  <dcterms:modified xsi:type="dcterms:W3CDTF">2025-11-03T02:41:02Z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D835B2E8C34C4A359ED82B48C67B6E52_13</vt:lpwstr>
  </property>
  <property fmtid="{D5CDD505-2E9C-101B-9397-08002B2CF9AE}" pid="4" name="KSOTemplateDocerSaveRecord">
    <vt:lpwstr>eyJoZGlkIjoiZWFmYTcyMmNlZDcwOTM0ZDY5MjhmMTU2MzJkMGVjNDQiLCJ1c2VySWQiOiIxNTI5MTk0NDM4In0=</vt:lpwstr>
  </property>
</Properties>
</file>