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95D75">
      <w:pPr>
        <w:jc w:val="center"/>
        <w:rPr>
          <w:rFonts w:hint="eastAsia" w:ascii="黑体" w:hAnsi="黑体" w:eastAsia="黑体"/>
          <w:sz w:val="44"/>
          <w:szCs w:val="44"/>
          <w:highlight w:val="none"/>
        </w:rPr>
      </w:pPr>
      <w:r>
        <w:rPr>
          <w:rFonts w:hint="default" w:ascii="Times New Roman" w:hAnsi="Times New Roman" w:eastAsia="方正小标宋简体" w:cs="Times New Roman"/>
          <w:sz w:val="44"/>
          <w:szCs w:val="44"/>
        </w:rPr>
        <w:t>宁河现代产业区天津广恒达机械有限公司新建加工车间及配套设施项目“12·16”一般高处坠落事故</w:t>
      </w:r>
      <w:r>
        <w:rPr>
          <w:rFonts w:hint="eastAsia" w:ascii="方正小标宋简体" w:eastAsia="方正小标宋简体"/>
          <w:sz w:val="44"/>
          <w:szCs w:val="44"/>
          <w:highlight w:val="none"/>
        </w:rPr>
        <w:t>防范和整改措施落实情况评估报告</w:t>
      </w:r>
    </w:p>
    <w:p w14:paraId="70069E36">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sz w:val="32"/>
          <w:szCs w:val="32"/>
          <w:highlight w:val="none"/>
        </w:rPr>
      </w:pPr>
      <w:r>
        <w:rPr>
          <w:rFonts w:hint="eastAsia" w:ascii="黑体" w:hAnsi="黑体" w:eastAsia="黑体"/>
          <w:sz w:val="32"/>
          <w:szCs w:val="32"/>
          <w:highlight w:val="none"/>
          <w:lang w:eastAsia="zh-CN"/>
        </w:rPr>
        <w:t>一、</w:t>
      </w:r>
      <w:r>
        <w:rPr>
          <w:rFonts w:hint="eastAsia" w:ascii="黑体" w:hAnsi="黑体" w:eastAsia="黑体"/>
          <w:sz w:val="32"/>
          <w:szCs w:val="32"/>
          <w:highlight w:val="none"/>
        </w:rPr>
        <w:t>评估目的</w:t>
      </w:r>
    </w:p>
    <w:p w14:paraId="683A00D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bCs/>
          <w:sz w:val="32"/>
          <w:szCs w:val="32"/>
          <w:highlight w:val="none"/>
          <w:lang w:val="en-US" w:eastAsia="zh-CN"/>
        </w:rPr>
      </w:pPr>
      <w:r>
        <w:rPr>
          <w:rFonts w:hint="eastAsia" w:ascii="Times New Roman" w:hAnsi="Times New Roman" w:eastAsia="仿宋_GB2312"/>
          <w:bCs/>
          <w:sz w:val="32"/>
          <w:szCs w:val="32"/>
          <w:highlight w:val="none"/>
          <w:lang w:val="en-US" w:eastAsia="zh-CN"/>
        </w:rPr>
        <w:t>为深入贯彻落实习近平总书记关于安全生产的重要指示批示精神，认真落实市委、市政府和区委、区政府关于做好安全生产工作的部署要求，充分发挥事故调查处理对加强和改进安全生产工作的促进作用，全面掌握事故发生单位及有关部门落实事故责任追究、事故防范和整改措施落实情况、采取的具体举措以及工作成效，深刻吸取事故教训，充分发挥事故惩戒和警示作用，从根本上消除事故隐患、从根本上解决存在问题，以事故调查评估促进本地区安全生产工作。</w:t>
      </w:r>
    </w:p>
    <w:p w14:paraId="148F6CFD">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二、评估依据及职责分工</w:t>
      </w:r>
    </w:p>
    <w:p w14:paraId="2865F72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Times New Roman" w:hAnsi="Times New Roman" w:eastAsia="仿宋_GB2312"/>
          <w:bCs/>
          <w:sz w:val="32"/>
          <w:szCs w:val="32"/>
          <w:highlight w:val="none"/>
          <w:lang w:val="en-US" w:eastAsia="zh-CN"/>
        </w:rPr>
        <w:t>依据《宁河现代产业区天津广恒达机械有限公司新建加工车间及配套设施项目“12·16”一般高处坠落事故调查报告》和《中共天津市委 天津市人民政府关于推进安全生产领域改革发展的实施意见》《生产安全事故防范和整改措施落实情况评估办法》和《</w:t>
      </w:r>
      <w:r>
        <w:rPr>
          <w:rFonts w:hint="eastAsia" w:ascii="仿宋_GB2312" w:hAnsi="仿宋_GB2312" w:eastAsia="仿宋_GB2312" w:cs="仿宋_GB2312"/>
          <w:b w:val="0"/>
          <w:bCs/>
          <w:color w:val="auto"/>
          <w:kern w:val="0"/>
          <w:sz w:val="32"/>
          <w:szCs w:val="32"/>
          <w:highlight w:val="none"/>
          <w:lang w:val="en-US" w:eastAsia="zh-CN" w:bidi="ar"/>
        </w:rPr>
        <w:t>市安委会办公室关于印发《天津市生产安全事故防范和整改措施落实情况评估办法》的通知》（津安办〔2022〕20号）</w:t>
      </w:r>
      <w:r>
        <w:rPr>
          <w:rFonts w:hint="eastAsia" w:ascii="Times New Roman" w:hAnsi="Times New Roman" w:eastAsia="仿宋_GB2312"/>
          <w:bCs/>
          <w:sz w:val="32"/>
          <w:szCs w:val="32"/>
          <w:highlight w:val="none"/>
          <w:lang w:val="en-US" w:eastAsia="zh-CN"/>
        </w:rPr>
        <w:t>规定，区应急局牵头成立宁河现代产业区天津广恒达机械有限公司新建加工车间及配套设施项目“12·16”一般高处坠落事故评估组（以下简称事故评估组），对事故责任追究和整改措施落实情况进行评估。</w:t>
      </w:r>
      <w:r>
        <w:rPr>
          <w:rFonts w:hint="eastAsia" w:ascii="仿宋_GB2312" w:hAnsi="仿宋_GB2312" w:eastAsia="仿宋_GB2312" w:cs="仿宋_GB2312"/>
          <w:sz w:val="32"/>
          <w:szCs w:val="32"/>
          <w:highlight w:val="none"/>
        </w:rPr>
        <w:t>评估组由区应急管理局、公安</w:t>
      </w:r>
      <w:r>
        <w:rPr>
          <w:rFonts w:hint="eastAsia" w:ascii="仿宋_GB2312" w:hAnsi="仿宋_GB2312" w:eastAsia="仿宋_GB2312" w:cs="仿宋_GB2312"/>
          <w:sz w:val="32"/>
          <w:szCs w:val="32"/>
          <w:highlight w:val="none"/>
          <w:lang w:eastAsia="zh-CN"/>
        </w:rPr>
        <w:t>宁河</w:t>
      </w:r>
      <w:r>
        <w:rPr>
          <w:rFonts w:hint="eastAsia" w:ascii="仿宋_GB2312" w:hAnsi="仿宋_GB2312" w:eastAsia="仿宋_GB2312" w:cs="仿宋_GB2312"/>
          <w:sz w:val="32"/>
          <w:szCs w:val="32"/>
          <w:highlight w:val="none"/>
        </w:rPr>
        <w:t>分局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区总工会、</w:t>
      </w:r>
      <w:r>
        <w:rPr>
          <w:rFonts w:hint="eastAsia" w:ascii="仿宋_GB2312" w:hAnsi="仿宋_GB2312" w:eastAsia="仿宋_GB2312" w:cs="仿宋_GB2312"/>
          <w:sz w:val="32"/>
          <w:szCs w:val="32"/>
          <w:highlight w:val="none"/>
          <w:lang w:val="en-US" w:eastAsia="zh-CN"/>
        </w:rPr>
        <w:t>现代产业区管委会</w:t>
      </w:r>
      <w:r>
        <w:rPr>
          <w:rFonts w:hint="eastAsia" w:ascii="仿宋_GB2312" w:hAnsi="仿宋_GB2312" w:eastAsia="仿宋_GB2312" w:cs="仿宋_GB2312"/>
          <w:sz w:val="32"/>
          <w:szCs w:val="32"/>
          <w:highlight w:val="none"/>
        </w:rPr>
        <w:t>等单位</w:t>
      </w:r>
      <w:r>
        <w:rPr>
          <w:rFonts w:hint="eastAsia" w:ascii="仿宋_GB2312" w:hAnsi="仿宋_GB2312" w:eastAsia="仿宋_GB2312" w:cs="仿宋_GB2312"/>
          <w:sz w:val="32"/>
          <w:szCs w:val="32"/>
          <w:highlight w:val="none"/>
          <w:lang w:eastAsia="zh-CN"/>
        </w:rPr>
        <w:t>组成，邀请区纪委监委派员参加</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具体分工如下：</w:t>
      </w:r>
    </w:p>
    <w:p w14:paraId="4AB63D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（一）区应急管理局负责收集相关部门、事故单位依据区政府批复，对单位、人员处理及整改措施的落实情况；组织拟写评估报告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及时向社会全文公开发布。</w:t>
      </w:r>
    </w:p>
    <w:p w14:paraId="1CA8AA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）公安</w:t>
      </w:r>
      <w:r>
        <w:rPr>
          <w:rFonts w:hint="eastAsia" w:ascii="仿宋_GB2312" w:hAnsi="仿宋_GB2312" w:eastAsia="仿宋_GB2312" w:cs="仿宋_GB2312"/>
          <w:sz w:val="32"/>
          <w:szCs w:val="32"/>
          <w:highlight w:val="none"/>
          <w:lang w:eastAsia="zh-CN"/>
        </w:rPr>
        <w:t>宁河</w:t>
      </w:r>
      <w:r>
        <w:rPr>
          <w:rFonts w:hint="eastAsia" w:ascii="仿宋_GB2312" w:hAnsi="仿宋_GB2312" w:eastAsia="仿宋_GB2312" w:cs="仿宋_GB2312"/>
          <w:sz w:val="32"/>
          <w:szCs w:val="32"/>
          <w:highlight w:val="none"/>
        </w:rPr>
        <w:t>分局负责递交事故相关责任人员刑事责任追究情况；参与拟写评估报告。</w:t>
      </w:r>
    </w:p>
    <w:p w14:paraId="3AF222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）区总工会负责监督整改措施落实、职工劳动保护等情况；参与拟写评估报告。</w:t>
      </w:r>
    </w:p>
    <w:p w14:paraId="6E2AF7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现代产业区管委会</w:t>
      </w:r>
      <w:r>
        <w:rPr>
          <w:rFonts w:hint="eastAsia" w:ascii="仿宋_GB2312" w:hAnsi="仿宋_GB2312" w:eastAsia="仿宋_GB2312" w:cs="仿宋_GB2312"/>
          <w:sz w:val="32"/>
          <w:szCs w:val="32"/>
          <w:highlight w:val="none"/>
        </w:rPr>
        <w:t>负责递交本地区落实区政府批复中相关行政处理及整改措施的落实情况；协调相关事故单位配合现场核查工作；参与拟写评估报告。</w:t>
      </w:r>
    </w:p>
    <w:p w14:paraId="7E05B4C6">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三、事故调查处理情况</w:t>
      </w:r>
    </w:p>
    <w:p w14:paraId="0C18D157">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事故发生时,有报警、接警信息传送、联动、启动现场应急救援;事故发生后经过</w:t>
      </w:r>
      <w:r>
        <w:rPr>
          <w:rFonts w:hint="eastAsia" w:ascii="仿宋_GB2312" w:hAnsi="仿宋_GB2312" w:eastAsia="仿宋_GB2312" w:cs="仿宋_GB2312"/>
          <w:bCs/>
          <w:sz w:val="32"/>
          <w:szCs w:val="32"/>
          <w:highlight w:val="none"/>
          <w:lang w:eastAsia="zh-CN"/>
        </w:rPr>
        <w:t>区</w:t>
      </w:r>
      <w:r>
        <w:rPr>
          <w:rFonts w:hint="eastAsia" w:ascii="仿宋_GB2312" w:hAnsi="仿宋_GB2312" w:eastAsia="仿宋_GB2312" w:cs="仿宋_GB2312"/>
          <w:bCs/>
          <w:sz w:val="32"/>
          <w:szCs w:val="32"/>
          <w:highlight w:val="none"/>
        </w:rPr>
        <w:t>政府批准成立事故调查组,按照职责分工进行调查取证,派员到现场勘查,进行物证提取、收集资料,并对相关人员进行询问笔录。调查组成员开会讨论研究分析事故发生的原因,确定事故性质、责任人员和责任单位,道究事故责任,并吸取事故教训提出事故整改防范措施,形成事故调查报告。将事故调查报告提交给本级人民政府批复,对相关责任人员和单位依法处理,落实整改防范措施,最后结案归档。</w:t>
      </w:r>
    </w:p>
    <w:p w14:paraId="429965EE">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四、评估部署工作</w:t>
      </w:r>
    </w:p>
    <w:p w14:paraId="6275763A">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heme="minorBidi"/>
          <w:bCs/>
          <w:kern w:val="2"/>
          <w:sz w:val="32"/>
          <w:szCs w:val="32"/>
          <w:highlight w:val="none"/>
          <w:lang w:val="en-US" w:eastAsia="zh-CN" w:bidi="ar-SA"/>
        </w:rPr>
      </w:pPr>
      <w:r>
        <w:rPr>
          <w:rFonts w:hint="eastAsia" w:ascii="Times New Roman" w:hAnsi="Times New Roman" w:eastAsia="仿宋_GB2312" w:cstheme="minorBidi"/>
          <w:bCs/>
          <w:kern w:val="2"/>
          <w:sz w:val="32"/>
          <w:szCs w:val="32"/>
          <w:highlight w:val="none"/>
          <w:lang w:val="en-US" w:eastAsia="zh-CN" w:bidi="ar-SA"/>
        </w:rPr>
        <w:t>2025年11月20日，区应急管理局牵头公安宁河分局、区总工会和现代产业</w:t>
      </w:r>
      <w:bookmarkStart w:id="0" w:name="_GoBack"/>
      <w:bookmarkEnd w:id="0"/>
      <w:r>
        <w:rPr>
          <w:rFonts w:hint="eastAsia" w:ascii="Times New Roman" w:hAnsi="Times New Roman" w:eastAsia="仿宋_GB2312" w:cstheme="minorBidi"/>
          <w:bCs/>
          <w:kern w:val="2"/>
          <w:sz w:val="32"/>
          <w:szCs w:val="32"/>
          <w:highlight w:val="none"/>
          <w:lang w:val="en-US" w:eastAsia="zh-CN" w:bidi="ar-SA"/>
        </w:rPr>
        <w:t>区管委会组成了事故评估组，并邀请区纪委监委参加评估工作。评估组以《事故调查报告》为依据，按照“四不放过”和科学严谨、依法依规、实事求是、注重实效的原则，制定了工作方案。评估组分别前往现代产业区管委会和</w:t>
      </w:r>
      <w:r>
        <w:rPr>
          <w:rFonts w:hint="default" w:ascii="Times New Roman" w:hAnsi="Times New Roman" w:eastAsia="仿宋_GB2312" w:cs="Times New Roman"/>
          <w:color w:val="000000"/>
          <w:sz w:val="32"/>
          <w:szCs w:val="32"/>
          <w:highlight w:val="none"/>
          <w:lang w:val="en" w:eastAsia="zh-CN"/>
        </w:rPr>
        <w:t>天津广恒达机械有限公司新建加工车间及配套设施项目</w:t>
      </w:r>
      <w:r>
        <w:rPr>
          <w:rFonts w:hint="eastAsia" w:ascii="Times New Roman" w:hAnsi="Times New Roman" w:eastAsia="仿宋_GB2312" w:cstheme="minorBidi"/>
          <w:bCs/>
          <w:kern w:val="2"/>
          <w:sz w:val="32"/>
          <w:szCs w:val="32"/>
          <w:highlight w:val="none"/>
          <w:lang w:val="en-US" w:eastAsia="zh-CN" w:bidi="ar-SA"/>
        </w:rPr>
        <w:t>进行现场评估，通过现场勘查、查阅文档、询问有关人员等方式了解了相关单位在事故发生后整改措施落实情况，并收集了相关资料，完成了评估工作。</w:t>
      </w:r>
    </w:p>
    <w:p w14:paraId="262C3DE6">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五、评估事项及结论</w:t>
      </w:r>
    </w:p>
    <w:p w14:paraId="627A95DD">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eastAsia="楷体_GB2312"/>
          <w:b/>
          <w:bCs/>
          <w:sz w:val="32"/>
          <w:highlight w:val="none"/>
        </w:rPr>
      </w:pPr>
      <w:r>
        <w:rPr>
          <w:rFonts w:hint="eastAsia" w:ascii="楷体_GB2312" w:hAnsi="Times New Roman" w:eastAsia="楷体_GB2312"/>
          <w:b/>
          <w:bCs/>
          <w:sz w:val="32"/>
          <w:szCs w:val="32"/>
          <w:highlight w:val="none"/>
        </w:rPr>
        <w:t>（一）</w:t>
      </w:r>
      <w:r>
        <w:rPr>
          <w:rFonts w:ascii="楷体_GB2312" w:eastAsia="楷体_GB2312"/>
          <w:b/>
          <w:bCs/>
          <w:sz w:val="32"/>
          <w:highlight w:val="none"/>
        </w:rPr>
        <w:t>行政处罚落实情况</w:t>
      </w:r>
    </w:p>
    <w:p w14:paraId="3CB74AE7">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eastAsia="仿宋_GB2312"/>
          <w:b w:val="0"/>
          <w:bCs/>
          <w:sz w:val="32"/>
          <w:szCs w:val="32"/>
          <w:highlight w:val="none"/>
          <w:lang w:val="en-US" w:eastAsia="zh-CN"/>
        </w:rPr>
      </w:pPr>
      <w:r>
        <w:rPr>
          <w:rFonts w:hint="eastAsia" w:ascii="仿宋_GB2312" w:eastAsia="仿宋_GB2312"/>
          <w:b w:val="0"/>
          <w:bCs/>
          <w:sz w:val="32"/>
          <w:szCs w:val="32"/>
          <w:highlight w:val="none"/>
          <w:lang w:eastAsia="zh-CN"/>
        </w:rPr>
        <w:t>落实情况：</w:t>
      </w:r>
      <w:r>
        <w:rPr>
          <w:rFonts w:hint="default" w:ascii="Times New Roman" w:hAnsi="Times New Roman" w:eastAsia="仿宋_GB2312" w:cs="Times New Roman"/>
          <w:sz w:val="32"/>
          <w:szCs w:val="32"/>
          <w:lang w:eastAsia="zh-CN"/>
        </w:rPr>
        <w:t>天津一浩建筑工程有限公司</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val="en-US" w:eastAsia="zh-CN"/>
        </w:rPr>
        <w:t>天津卓逸建筑工程管理有限公司</w:t>
      </w:r>
      <w:r>
        <w:rPr>
          <w:rFonts w:hint="eastAsia" w:ascii="Times New Roman" w:hAnsi="Times New Roman" w:eastAsia="仿宋_GB2312"/>
          <w:bCs/>
          <w:sz w:val="32"/>
          <w:szCs w:val="32"/>
          <w:highlight w:val="none"/>
          <w:lang w:val="en-US" w:eastAsia="zh-CN"/>
        </w:rPr>
        <w:t>罚款已缴纳；</w:t>
      </w:r>
      <w:r>
        <w:rPr>
          <w:rFonts w:hint="default" w:ascii="Times New Roman" w:hAnsi="Times New Roman" w:eastAsia="仿宋_GB2312" w:cs="Times New Roman"/>
          <w:sz w:val="32"/>
          <w:szCs w:val="32"/>
          <w:lang w:eastAsia="zh-CN"/>
        </w:rPr>
        <w:t>天津一浩建筑工程有限公司</w:t>
      </w:r>
      <w:r>
        <w:rPr>
          <w:rFonts w:hint="eastAsia" w:ascii="Times New Roman" w:hAnsi="Times New Roman" w:eastAsia="仿宋_GB2312"/>
          <w:bCs/>
          <w:sz w:val="32"/>
          <w:szCs w:val="32"/>
          <w:highlight w:val="none"/>
          <w:lang w:val="en-US" w:eastAsia="zh-CN"/>
        </w:rPr>
        <w:t>主要负责人</w:t>
      </w:r>
      <w:r>
        <w:rPr>
          <w:rFonts w:hint="default" w:ascii="Times New Roman" w:hAnsi="Times New Roman" w:eastAsia="仿宋_GB2312" w:cs="Times New Roman"/>
          <w:sz w:val="32"/>
          <w:szCs w:val="32"/>
          <w:highlight w:val="none"/>
          <w:lang w:val="en-US" w:eastAsia="zh-CN"/>
        </w:rPr>
        <w:t>袁居丰</w:t>
      </w:r>
      <w:r>
        <w:rPr>
          <w:rFonts w:hint="eastAsia" w:ascii="Times New Roman" w:hAnsi="Times New Roman" w:eastAsia="仿宋_GB2312"/>
          <w:bCs/>
          <w:sz w:val="32"/>
          <w:szCs w:val="32"/>
          <w:highlight w:val="none"/>
          <w:lang w:val="en-US" w:eastAsia="zh-CN"/>
        </w:rPr>
        <w:t>罚款已缴纳。</w:t>
      </w:r>
    </w:p>
    <w:p w14:paraId="2B92F6AE">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bCs/>
          <w:sz w:val="32"/>
          <w:szCs w:val="32"/>
          <w:highlight w:val="none"/>
        </w:rPr>
      </w:pPr>
      <w:r>
        <w:rPr>
          <w:rFonts w:hint="eastAsia" w:ascii="Times New Roman" w:hAnsi="Times New Roman" w:eastAsia="仿宋_GB2312"/>
          <w:b w:val="0"/>
          <w:bCs/>
          <w:sz w:val="32"/>
          <w:szCs w:val="32"/>
          <w:highlight w:val="none"/>
        </w:rPr>
        <w:t>评估结论：对</w:t>
      </w:r>
      <w:r>
        <w:rPr>
          <w:rFonts w:hint="default" w:ascii="Times New Roman" w:hAnsi="Times New Roman" w:eastAsia="仿宋_GB2312" w:cs="Times New Roman"/>
          <w:sz w:val="32"/>
          <w:szCs w:val="32"/>
          <w:lang w:eastAsia="zh-CN"/>
        </w:rPr>
        <w:t>天津一浩建筑工程有限公司</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val="en-US" w:eastAsia="zh-CN"/>
        </w:rPr>
        <w:t>天津卓逸建筑工程管理有限公司</w:t>
      </w:r>
      <w:r>
        <w:rPr>
          <w:rFonts w:hint="eastAsia" w:ascii="Times New Roman" w:hAnsi="Times New Roman" w:eastAsia="仿宋_GB2312"/>
          <w:bCs/>
          <w:sz w:val="32"/>
          <w:szCs w:val="32"/>
          <w:highlight w:val="none"/>
        </w:rPr>
        <w:t>及</w:t>
      </w:r>
      <w:r>
        <w:rPr>
          <w:rFonts w:hint="default" w:ascii="Times New Roman" w:hAnsi="Times New Roman" w:eastAsia="仿宋_GB2312" w:cs="Times New Roman"/>
          <w:sz w:val="32"/>
          <w:szCs w:val="32"/>
          <w:highlight w:val="none"/>
          <w:lang w:val="en-US" w:eastAsia="zh-CN"/>
        </w:rPr>
        <w:t>袁居丰</w:t>
      </w:r>
      <w:r>
        <w:rPr>
          <w:rFonts w:hint="eastAsia" w:ascii="Times New Roman" w:hAnsi="Times New Roman" w:eastAsia="仿宋_GB2312"/>
          <w:bCs/>
          <w:sz w:val="32"/>
          <w:szCs w:val="32"/>
          <w:highlight w:val="none"/>
        </w:rPr>
        <w:t>的行政处罚已落实。</w:t>
      </w:r>
    </w:p>
    <w:p w14:paraId="43E9AE92">
      <w:pPr>
        <w:keepNext w:val="0"/>
        <w:keepLines w:val="0"/>
        <w:pageBreakBefore w:val="0"/>
        <w:widowControl w:val="0"/>
        <w:kinsoku/>
        <w:wordWrap/>
        <w:overflowPunct/>
        <w:topLinePunct w:val="0"/>
        <w:bidi w:val="0"/>
        <w:snapToGrid/>
        <w:spacing w:line="560" w:lineRule="exact"/>
        <w:ind w:firstLine="643" w:firstLineChars="200"/>
        <w:jc w:val="left"/>
        <w:textAlignment w:val="auto"/>
        <w:rPr>
          <w:rFonts w:hint="eastAsia" w:ascii="楷体_GB2312" w:eastAsia="楷体_GB2312"/>
          <w:b/>
          <w:bCs w:val="0"/>
          <w:sz w:val="32"/>
          <w:highlight w:val="none"/>
        </w:rPr>
      </w:pPr>
      <w:r>
        <w:rPr>
          <w:rFonts w:hint="eastAsia" w:ascii="楷体_GB2312" w:eastAsia="楷体_GB2312"/>
          <w:b/>
          <w:bCs w:val="0"/>
          <w:sz w:val="32"/>
          <w:highlight w:val="none"/>
        </w:rPr>
        <w:t>（</w:t>
      </w:r>
      <w:r>
        <w:rPr>
          <w:rFonts w:hint="eastAsia" w:ascii="楷体_GB2312" w:eastAsia="楷体_GB2312"/>
          <w:b/>
          <w:bCs w:val="0"/>
          <w:sz w:val="32"/>
          <w:highlight w:val="none"/>
          <w:lang w:eastAsia="zh-CN"/>
        </w:rPr>
        <w:t>二</w:t>
      </w:r>
      <w:r>
        <w:rPr>
          <w:rFonts w:hint="eastAsia" w:ascii="楷体_GB2312" w:eastAsia="楷体_GB2312"/>
          <w:b/>
          <w:bCs w:val="0"/>
          <w:sz w:val="32"/>
          <w:highlight w:val="none"/>
        </w:rPr>
        <w:t>）</w:t>
      </w:r>
      <w:r>
        <w:rPr>
          <w:rFonts w:ascii="楷体_GB2312" w:eastAsia="楷体_GB2312"/>
          <w:b/>
          <w:bCs w:val="0"/>
          <w:sz w:val="32"/>
          <w:highlight w:val="none"/>
        </w:rPr>
        <w:t>事故防范和整改措施落实情况</w:t>
      </w:r>
    </w:p>
    <w:p w14:paraId="255F51B2">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bCs/>
          <w:sz w:val="32"/>
          <w:szCs w:val="32"/>
          <w:highlight w:val="none"/>
          <w:lang w:val="en-US" w:eastAsia="zh-CN"/>
        </w:rPr>
        <w:t>1.</w:t>
      </w:r>
      <w:r>
        <w:rPr>
          <w:rFonts w:hint="default" w:ascii="Times New Roman" w:hAnsi="Times New Roman" w:eastAsia="仿宋_GB2312" w:cs="Times New Roman"/>
          <w:sz w:val="32"/>
          <w:szCs w:val="32"/>
          <w:lang w:eastAsia="zh-CN"/>
        </w:rPr>
        <w:t>天津一浩建筑工程有限公司</w:t>
      </w:r>
      <w:r>
        <w:rPr>
          <w:rFonts w:hint="eastAsia" w:ascii="Times New Roman" w:hAnsi="Times New Roman" w:eastAsia="仿宋_GB2312"/>
          <w:bCs/>
          <w:sz w:val="32"/>
          <w:szCs w:val="32"/>
          <w:highlight w:val="none"/>
          <w:lang w:val="en-US" w:eastAsia="zh-CN"/>
        </w:rPr>
        <w:t>：事故发生后，该公司立即组织全体员工召开警示教育大会，吸取事故教训，</w:t>
      </w:r>
      <w:r>
        <w:rPr>
          <w:rFonts w:hint="eastAsia" w:ascii="Times New Roman" w:hAnsi="Times New Roman" w:eastAsia="仿宋_GB2312" w:cs="Times New Roman"/>
          <w:sz w:val="32"/>
          <w:szCs w:val="32"/>
          <w:highlight w:val="none"/>
          <w:lang w:val="en-US" w:eastAsia="zh-CN"/>
        </w:rPr>
        <w:t>举一反三，认真落实《中华人民共和国安全生产法》《天津市生产经营单位安全生产主体责任规定》等法律法规要求，加强安全风险分级管控和隐患排查治理双重预防工作机制的建设，细化完善安全风险点位辨识排查，明确风险隐患，采取可靠有效的防范管控措施，进一步加强安全培训教育，提高员工的安全生产意识及操作水平。</w:t>
      </w:r>
    </w:p>
    <w:p w14:paraId="10449A6C">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天津卓逸建筑工程管理有限公司</w:t>
      </w:r>
      <w:r>
        <w:rPr>
          <w:rFonts w:hint="eastAsia" w:ascii="Times New Roman" w:hAnsi="Times New Roman" w:eastAsia="仿宋_GB2312" w:cs="Times New Roman"/>
          <w:sz w:val="32"/>
          <w:szCs w:val="32"/>
          <w:highlight w:val="none"/>
          <w:lang w:val="en-US" w:eastAsia="zh-CN"/>
        </w:rPr>
        <w:t>：事故发生后，该公司吸取事故教训，</w:t>
      </w:r>
      <w:r>
        <w:rPr>
          <w:rFonts w:hint="default" w:ascii="Times New Roman" w:hAnsi="Times New Roman" w:eastAsia="仿宋_GB2312" w:cs="Times New Roman"/>
          <w:sz w:val="32"/>
          <w:szCs w:val="32"/>
          <w:highlight w:val="none"/>
          <w:lang w:val="en-US" w:eastAsia="zh-CN"/>
        </w:rPr>
        <w:t>认真履行监理单位的安全管理职责，加强对相关单位安全生产工作的统一协调、管理，并加强对相关单位的安全检查，健全问题隐患台账，及时督促整改，及时上报施工单位不配合情况，完成隐患整改闭环。</w:t>
      </w:r>
    </w:p>
    <w:p w14:paraId="683C7648">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jc w:val="both"/>
        <w:textAlignment w:val="auto"/>
        <w:rPr>
          <w:rFonts w:hint="eastAsia" w:ascii="Times New Roman" w:hAnsi="Times New Roman" w:eastAsia="仿宋_GB2312"/>
          <w:bCs/>
          <w:sz w:val="32"/>
          <w:szCs w:val="32"/>
          <w:highlight w:val="none"/>
          <w:lang w:eastAsia="zh-CN"/>
        </w:rPr>
      </w:pPr>
      <w:r>
        <w:rPr>
          <w:rFonts w:hint="eastAsia" w:ascii="Times New Roman" w:hAnsi="Times New Roman" w:eastAsia="仿宋_GB2312"/>
          <w:bCs/>
          <w:sz w:val="32"/>
          <w:szCs w:val="32"/>
          <w:highlight w:val="none"/>
          <w:lang w:val="en-US" w:eastAsia="zh-CN"/>
        </w:rPr>
        <w:t>3.现代产业区管委会</w:t>
      </w:r>
      <w:r>
        <w:rPr>
          <w:rFonts w:hint="eastAsia" w:ascii="Times New Roman" w:hAnsi="Times New Roman" w:eastAsia="仿宋_GB2312"/>
          <w:bCs/>
          <w:sz w:val="32"/>
          <w:szCs w:val="32"/>
          <w:highlight w:val="none"/>
          <w:lang w:eastAsia="zh-CN"/>
        </w:rPr>
        <w:t>：事故发生后，</w:t>
      </w:r>
      <w:r>
        <w:rPr>
          <w:rFonts w:hint="default" w:ascii="Times New Roman" w:hAnsi="Times New Roman" w:eastAsia="仿宋_GB2312" w:cs="Times New Roman"/>
          <w:sz w:val="32"/>
          <w:szCs w:val="32"/>
          <w:highlight w:val="none"/>
          <w:lang w:val="en-US" w:eastAsia="zh-CN"/>
        </w:rPr>
        <w:t>要深入学习贯彻习近平总书记重要指示批示精神，坚持人民至上、生命至上，深刻汲取事故惨痛教训，召开事故警示专题会议，增强抓好安全生产工作的责任感、紧迫感和使命感，坚持安全第一、预防为主，切实统筹好发展和安全两件大事。</w:t>
      </w:r>
    </w:p>
    <w:p w14:paraId="62925DEF">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评估结论：各相关单位对事故调查报告中的事故防范和整改措施已落实。</w:t>
      </w:r>
    </w:p>
    <w:p w14:paraId="74F3BBB4">
      <w:pPr>
        <w:keepNext w:val="0"/>
        <w:keepLines w:val="0"/>
        <w:pageBreakBefore w:val="0"/>
        <w:widowControl w:val="0"/>
        <w:kinsoku/>
        <w:wordWrap/>
        <w:overflowPunct/>
        <w:topLinePunct w:val="0"/>
        <w:bidi w:val="0"/>
        <w:snapToGrid/>
        <w:jc w:val="left"/>
        <w:textAlignment w:val="auto"/>
        <w:rPr>
          <w:rFonts w:hint="eastAsia" w:ascii="Times New Roman" w:hAnsi="Times New Roman" w:eastAsia="仿宋_GB2312"/>
          <w:bCs/>
          <w:sz w:val="32"/>
          <w:szCs w:val="32"/>
          <w:highlight w:val="none"/>
        </w:rPr>
      </w:pPr>
    </w:p>
    <w:sectPr>
      <w:pgSz w:w="11906" w:h="16838"/>
      <w:pgMar w:top="1440" w:right="1803" w:bottom="1440" w:left="180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4BF7D2-3CB2-4680-A87C-B180E5330B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96A9DA9C-2467-4EE1-8A85-980FF4C90944}"/>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44A9B86E-F18E-4F64-B2C4-7581A3950167}"/>
  </w:font>
  <w:font w:name="楷体_GB2312">
    <w:altName w:val="楷体"/>
    <w:panose1 w:val="02010609030101010101"/>
    <w:charset w:val="86"/>
    <w:family w:val="modern"/>
    <w:pitch w:val="default"/>
    <w:sig w:usb0="00000000" w:usb1="00000000" w:usb2="00000000" w:usb3="00000000" w:csb0="00040000" w:csb1="00000000"/>
    <w:embedRegular r:id="rId4" w:fontKey="{0207EFE5-D10C-4004-B8E2-18E9A153636B}"/>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GFjM2ZkMjhiYTdlMzE0Yjk2MjU4NGE5OGRmMTIifQ=="/>
  </w:docVars>
  <w:rsids>
    <w:rsidRoot w:val="00E100FA"/>
    <w:rsid w:val="00206181"/>
    <w:rsid w:val="00271C4E"/>
    <w:rsid w:val="002E694A"/>
    <w:rsid w:val="00310517"/>
    <w:rsid w:val="004C4159"/>
    <w:rsid w:val="0052487C"/>
    <w:rsid w:val="007166CB"/>
    <w:rsid w:val="009231BB"/>
    <w:rsid w:val="009A7EDA"/>
    <w:rsid w:val="009D16D0"/>
    <w:rsid w:val="00A467BB"/>
    <w:rsid w:val="00B75DC8"/>
    <w:rsid w:val="00C76974"/>
    <w:rsid w:val="00C8546A"/>
    <w:rsid w:val="00E100FA"/>
    <w:rsid w:val="03156812"/>
    <w:rsid w:val="0747427C"/>
    <w:rsid w:val="0CCA2D7E"/>
    <w:rsid w:val="23FB8331"/>
    <w:rsid w:val="2B7C7C12"/>
    <w:rsid w:val="32FFD791"/>
    <w:rsid w:val="377B4E35"/>
    <w:rsid w:val="39FFEA8E"/>
    <w:rsid w:val="3AAA293E"/>
    <w:rsid w:val="3ED327FB"/>
    <w:rsid w:val="3FBD9B78"/>
    <w:rsid w:val="3FFCDD94"/>
    <w:rsid w:val="42F13FDC"/>
    <w:rsid w:val="46DFAF58"/>
    <w:rsid w:val="4B3290ED"/>
    <w:rsid w:val="4F2F194F"/>
    <w:rsid w:val="5A2FF9E2"/>
    <w:rsid w:val="5BBF1FCC"/>
    <w:rsid w:val="5BEF8239"/>
    <w:rsid w:val="5D77CB03"/>
    <w:rsid w:val="5DE277F8"/>
    <w:rsid w:val="5EF70A68"/>
    <w:rsid w:val="5F1FF354"/>
    <w:rsid w:val="5F6EE1D3"/>
    <w:rsid w:val="5FBFDB56"/>
    <w:rsid w:val="5FE74565"/>
    <w:rsid w:val="62CECBA0"/>
    <w:rsid w:val="6BF082B8"/>
    <w:rsid w:val="6FDFA3F3"/>
    <w:rsid w:val="6FF72BB1"/>
    <w:rsid w:val="755322CC"/>
    <w:rsid w:val="76DD1BEC"/>
    <w:rsid w:val="76EBA425"/>
    <w:rsid w:val="775F1450"/>
    <w:rsid w:val="77EB70E4"/>
    <w:rsid w:val="77EE6F6D"/>
    <w:rsid w:val="77F56108"/>
    <w:rsid w:val="7B7718E1"/>
    <w:rsid w:val="7BCF6C95"/>
    <w:rsid w:val="7BDECD58"/>
    <w:rsid w:val="7BFB03F6"/>
    <w:rsid w:val="7CBB1ECE"/>
    <w:rsid w:val="7CBBDB19"/>
    <w:rsid w:val="7D7ECEA8"/>
    <w:rsid w:val="7DBFE66D"/>
    <w:rsid w:val="7DFF7CEA"/>
    <w:rsid w:val="7F37BCD8"/>
    <w:rsid w:val="7FACD1A2"/>
    <w:rsid w:val="7FBFC950"/>
    <w:rsid w:val="7FCF8257"/>
    <w:rsid w:val="7FDF9A21"/>
    <w:rsid w:val="7FEF5A8E"/>
    <w:rsid w:val="7FF69FB8"/>
    <w:rsid w:val="7FFECED3"/>
    <w:rsid w:val="8EBFCFF3"/>
    <w:rsid w:val="A7561DBA"/>
    <w:rsid w:val="A9B35B90"/>
    <w:rsid w:val="AE7564C8"/>
    <w:rsid w:val="AFFFD709"/>
    <w:rsid w:val="B2DBD241"/>
    <w:rsid w:val="B3BF1793"/>
    <w:rsid w:val="B3DF56A9"/>
    <w:rsid w:val="B96998C6"/>
    <w:rsid w:val="BD9FA29E"/>
    <w:rsid w:val="BF9F5916"/>
    <w:rsid w:val="BFBEB3D7"/>
    <w:rsid w:val="BFBFBB5D"/>
    <w:rsid w:val="C5FDE061"/>
    <w:rsid w:val="C7FEFD56"/>
    <w:rsid w:val="CFFF2D7C"/>
    <w:rsid w:val="D7F9687B"/>
    <w:rsid w:val="DB2117CB"/>
    <w:rsid w:val="DBEB40AE"/>
    <w:rsid w:val="DDBF6149"/>
    <w:rsid w:val="DFBD161B"/>
    <w:rsid w:val="DFC90D33"/>
    <w:rsid w:val="DFF7B7B0"/>
    <w:rsid w:val="DFFFA26D"/>
    <w:rsid w:val="E3D7AC01"/>
    <w:rsid w:val="E6D39C7B"/>
    <w:rsid w:val="EADF0ABF"/>
    <w:rsid w:val="F05FFE24"/>
    <w:rsid w:val="F37D3659"/>
    <w:rsid w:val="F38F4771"/>
    <w:rsid w:val="F3FFAE5E"/>
    <w:rsid w:val="F76EC874"/>
    <w:rsid w:val="F7FF55D5"/>
    <w:rsid w:val="FAB1B2C0"/>
    <w:rsid w:val="FB8B0F15"/>
    <w:rsid w:val="FBED4C20"/>
    <w:rsid w:val="FF6F8820"/>
    <w:rsid w:val="FF9BEEAB"/>
    <w:rsid w:val="FFBF662F"/>
    <w:rsid w:val="FFDFE651"/>
    <w:rsid w:val="FFEE2926"/>
    <w:rsid w:val="FFF39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00" w:lineRule="exact"/>
      <w:jc w:val="center"/>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200" w:lineRule="exact"/>
      <w:outlineLvl w:val="0"/>
    </w:pPr>
    <w:rPr>
      <w:rFonts w:ascii="仿宋_GB2312" w:eastAsia="宋体"/>
      <w:b/>
      <w:bCs/>
      <w:kern w:val="44"/>
      <w:sz w:val="24"/>
    </w:rPr>
  </w:style>
  <w:style w:type="paragraph" w:styleId="3">
    <w:name w:val="heading 2"/>
    <w:basedOn w:val="1"/>
    <w:next w:val="1"/>
    <w:link w:val="16"/>
    <w:unhideWhenUsed/>
    <w:qFormat/>
    <w:uiPriority w:val="9"/>
    <w:pPr>
      <w:keepNext/>
      <w:keepLines/>
      <w:spacing w:before="260" w:after="260" w:line="200" w:lineRule="exact"/>
      <w:outlineLvl w:val="1"/>
    </w:pPr>
    <w:rPr>
      <w:rFonts w:eastAsia="宋体" w:asciiTheme="majorHAnsi" w:hAnsiTheme="majorHAnsi" w:cstheme="majorBidi"/>
      <w:bCs/>
    </w:rPr>
  </w:style>
  <w:style w:type="paragraph" w:styleId="4">
    <w:name w:val="heading 3"/>
    <w:basedOn w:val="1"/>
    <w:next w:val="1"/>
    <w:link w:val="17"/>
    <w:unhideWhenUsed/>
    <w:qFormat/>
    <w:uiPriority w:val="9"/>
    <w:pPr>
      <w:keepNext/>
      <w:keepLines/>
      <w:spacing w:before="260" w:after="260" w:line="200" w:lineRule="exact"/>
      <w:outlineLvl w:val="2"/>
    </w:pPr>
    <w:rPr>
      <w:rFonts w:eastAsia="宋体"/>
      <w:bCs/>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18"/>
    <w:semiHidden/>
    <w:unhideWhenUsed/>
    <w:qFormat/>
    <w:uiPriority w:val="99"/>
    <w:pPr>
      <w:spacing w:after="120"/>
      <w:ind w:left="420" w:leftChars="200"/>
    </w:p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2"/>
    <w:basedOn w:val="5"/>
    <w:link w:val="19"/>
    <w:unhideWhenUsed/>
    <w:qFormat/>
    <w:uiPriority w:val="0"/>
    <w:pPr>
      <w:widowControl w:val="0"/>
      <w:spacing w:line="240" w:lineRule="auto"/>
      <w:ind w:firstLine="420" w:firstLineChars="200"/>
      <w:jc w:val="both"/>
    </w:pPr>
    <w:rPr>
      <w:rFonts w:ascii="Calibri" w:hAnsi="Calibri" w:eastAsia="宋体" w:cs="Calibri"/>
      <w:szCs w:val="24"/>
    </w:rPr>
  </w:style>
  <w:style w:type="character" w:styleId="11">
    <w:name w:val="Strong"/>
    <w:basedOn w:val="10"/>
    <w:qFormat/>
    <w:uiPriority w:val="22"/>
    <w:rPr>
      <w:b/>
    </w:rPr>
  </w:style>
  <w:style w:type="paragraph" w:customStyle="1" w:styleId="12">
    <w:name w:val="BodyText1I2"/>
    <w:basedOn w:val="13"/>
    <w:qFormat/>
    <w:uiPriority w:val="0"/>
    <w:pPr>
      <w:ind w:left="0" w:leftChars="0" w:firstLine="210"/>
    </w:pPr>
    <w:rPr>
      <w:sz w:val="24"/>
      <w:lang w:bidi="zh-CN"/>
    </w:rPr>
  </w:style>
  <w:style w:type="paragraph" w:customStyle="1" w:styleId="13">
    <w:name w:val="BodyTextIndent"/>
    <w:basedOn w:val="1"/>
    <w:qFormat/>
    <w:uiPriority w:val="0"/>
    <w:pPr>
      <w:spacing w:after="120"/>
      <w:ind w:left="420" w:leftChars="200"/>
    </w:pPr>
  </w:style>
  <w:style w:type="paragraph" w:customStyle="1" w:styleId="14">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5">
    <w:name w:val="标题 1 Char"/>
    <w:basedOn w:val="10"/>
    <w:link w:val="2"/>
    <w:qFormat/>
    <w:uiPriority w:val="9"/>
    <w:rPr>
      <w:rFonts w:ascii="仿宋_GB2312" w:eastAsia="宋体"/>
      <w:b/>
      <w:bCs/>
      <w:kern w:val="44"/>
      <w:sz w:val="24"/>
    </w:rPr>
  </w:style>
  <w:style w:type="character" w:customStyle="1" w:styleId="16">
    <w:name w:val="标题 2 Char"/>
    <w:basedOn w:val="10"/>
    <w:link w:val="3"/>
    <w:qFormat/>
    <w:uiPriority w:val="9"/>
    <w:rPr>
      <w:rFonts w:eastAsia="宋体" w:asciiTheme="majorHAnsi" w:hAnsiTheme="majorHAnsi" w:cstheme="majorBidi"/>
      <w:bCs/>
    </w:rPr>
  </w:style>
  <w:style w:type="character" w:customStyle="1" w:styleId="17">
    <w:name w:val="标题 3 Char"/>
    <w:basedOn w:val="10"/>
    <w:link w:val="4"/>
    <w:qFormat/>
    <w:uiPriority w:val="9"/>
    <w:rPr>
      <w:rFonts w:eastAsia="宋体"/>
      <w:bCs/>
    </w:rPr>
  </w:style>
  <w:style w:type="character" w:customStyle="1" w:styleId="18">
    <w:name w:val="正文文本缩进 Char"/>
    <w:basedOn w:val="10"/>
    <w:link w:val="5"/>
    <w:semiHidden/>
    <w:qFormat/>
    <w:uiPriority w:val="99"/>
  </w:style>
  <w:style w:type="character" w:customStyle="1" w:styleId="19">
    <w:name w:val="正文首行缩进 2 Char"/>
    <w:basedOn w:val="18"/>
    <w:link w:val="8"/>
    <w:qFormat/>
    <w:uiPriority w:val="0"/>
    <w:rPr>
      <w:rFonts w:ascii="Calibri" w:hAnsi="Calibri" w:eastAsia="宋体" w:cs="Calibri"/>
      <w:szCs w:val="24"/>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1876</Words>
  <Characters>1898</Characters>
  <Lines>3</Lines>
  <Paragraphs>1</Paragraphs>
  <TotalTime>0</TotalTime>
  <ScaleCrop>false</ScaleCrop>
  <LinksUpToDate>false</LinksUpToDate>
  <CharactersWithSpaces>1899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2020-06-23T00:18:00Z</dcterms:created>
  <dc:creator>高正斌</dc:creator>
  <cp:lastModifiedBy>曾嘉 15332140501</cp:lastModifiedBy>
  <dcterms:modified xsi:type="dcterms:W3CDTF">2025-11-06T00:41:47Z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D835B2E8C34C4A359ED82B48C67B6E52_13</vt:lpwstr>
  </property>
  <property fmtid="{D5CDD505-2E9C-101B-9397-08002B2CF9AE}" pid="4" name="KSOTemplateDocerSaveRecord">
    <vt:lpwstr>eyJoZGlkIjoiZWFmYTcyMmNlZDcwOTM0ZDY5MjhmMTU2MzJkMGVjNDQiLCJ1c2VySWQiOiIxNTI5MTk0NDM4In0=</vt:lpwstr>
  </property>
</Properties>
</file>