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C8EAC">
      <w:pPr>
        <w:pStyle w:val="15"/>
        <w:rPr>
          <w:rFonts w:ascii="Times New Roman" w:hAnsi="Times New Roman" w:cs="Times New Roman" w:eastAsiaTheme="minorEastAsia"/>
          <w:sz w:val="40"/>
          <w:szCs w:val="40"/>
          <w:lang w:val="zh-CN" w:eastAsia="zh-CN" w:bidi="zh-CN"/>
        </w:rPr>
      </w:pPr>
      <w:r>
        <w:rPr>
          <w:rFonts w:hint="eastAsia" w:ascii="Times New Roman" w:hAnsi="Times New Roman" w:cs="Times New Roman" w:eastAsiaTheme="minorEastAsia"/>
          <w:sz w:val="40"/>
          <w:szCs w:val="40"/>
          <w:lang w:val="zh-CN" w:eastAsia="zh-CN" w:bidi="zh-CN"/>
        </w:rPr>
        <w:t xml:space="preserve">  </w:t>
      </w:r>
    </w:p>
    <w:p w14:paraId="2F5A332E">
      <w:pPr>
        <w:pStyle w:val="15"/>
        <w:rPr>
          <w:rFonts w:ascii="Times New Roman" w:hAnsi="Times New Roman" w:cs="Times New Roman" w:eastAsiaTheme="minorEastAsia"/>
          <w:sz w:val="40"/>
          <w:szCs w:val="40"/>
          <w:lang w:val="zh-CN" w:eastAsia="zh-CN" w:bidi="zh-CN"/>
        </w:rPr>
      </w:pPr>
    </w:p>
    <w:p w14:paraId="326A2542">
      <w:pPr>
        <w:pStyle w:val="15"/>
        <w:rPr>
          <w:rFonts w:ascii="Times New Roman" w:hAnsi="Times New Roman" w:cs="Times New Roman" w:eastAsiaTheme="minorEastAsia"/>
          <w:sz w:val="40"/>
          <w:szCs w:val="40"/>
          <w:lang w:val="zh-CN" w:eastAsia="zh-CN" w:bidi="zh-CN"/>
        </w:rPr>
      </w:pPr>
    </w:p>
    <w:p w14:paraId="2D241BA3">
      <w:pPr>
        <w:pStyle w:val="15"/>
        <w:adjustRightInd w:val="0"/>
        <w:snapToGrid w:val="0"/>
        <w:spacing w:before="156" w:beforeLines="50" w:after="156" w:afterLines="50"/>
        <w:jc w:val="center"/>
        <w:rPr>
          <w:rFonts w:asciiTheme="majorEastAsia" w:hAnsiTheme="majorEastAsia" w:eastAsiaTheme="majorEastAsia"/>
          <w:b/>
          <w:sz w:val="40"/>
        </w:rPr>
      </w:pPr>
      <w:r>
        <w:rPr>
          <w:rFonts w:hint="eastAsia" w:asciiTheme="majorEastAsia" w:hAnsiTheme="majorEastAsia" w:eastAsiaTheme="majorEastAsia"/>
          <w:b/>
          <w:sz w:val="40"/>
          <w:lang w:eastAsia="zh-CN"/>
        </w:rPr>
        <w:t>2022年天津市宁河区</w:t>
      </w:r>
      <w:r>
        <w:rPr>
          <w:rFonts w:hint="eastAsia" w:asciiTheme="majorEastAsia" w:hAnsiTheme="majorEastAsia" w:eastAsiaTheme="majorEastAsia"/>
          <w:b/>
          <w:sz w:val="40"/>
        </w:rPr>
        <w:t>芦台一中迁址新建项目</w:t>
      </w:r>
    </w:p>
    <w:p w14:paraId="5D44FAB4">
      <w:pPr>
        <w:pStyle w:val="15"/>
        <w:adjustRightInd w:val="0"/>
        <w:snapToGrid w:val="0"/>
        <w:spacing w:before="156" w:beforeLines="50" w:after="156" w:afterLines="50"/>
        <w:jc w:val="center"/>
        <w:rPr>
          <w:rFonts w:cs="Times New Roman" w:asciiTheme="majorEastAsia" w:hAnsiTheme="majorEastAsia" w:eastAsiaTheme="majorEastAsia"/>
          <w:b/>
          <w:sz w:val="40"/>
          <w:szCs w:val="40"/>
          <w:lang w:val="zh-CN" w:eastAsia="zh-CN" w:bidi="zh-CN"/>
        </w:rPr>
      </w:pPr>
      <w:r>
        <w:rPr>
          <w:rFonts w:asciiTheme="majorEastAsia" w:hAnsiTheme="majorEastAsia" w:eastAsiaTheme="majorEastAsia"/>
          <w:b/>
          <w:sz w:val="40"/>
        </w:rPr>
        <w:t>事前绩效评估</w:t>
      </w:r>
      <w:r>
        <w:rPr>
          <w:rFonts w:hint="eastAsia" w:asciiTheme="majorEastAsia" w:hAnsiTheme="majorEastAsia" w:eastAsiaTheme="majorEastAsia"/>
          <w:b/>
          <w:sz w:val="40"/>
          <w:lang w:eastAsia="zh-CN"/>
        </w:rPr>
        <w:t>报告</w:t>
      </w:r>
    </w:p>
    <w:p w14:paraId="3A52B7F6">
      <w:pPr>
        <w:jc w:val="center"/>
        <w:rPr>
          <w:sz w:val="40"/>
        </w:rPr>
      </w:pPr>
      <w:r>
        <w:rPr>
          <w:rFonts w:hint="eastAsia"/>
          <w:sz w:val="28"/>
        </w:rPr>
        <w:t>立信中联专审字[2021]A-0221号</w:t>
      </w:r>
    </w:p>
    <w:p w14:paraId="126839C7">
      <w:pPr>
        <w:pStyle w:val="15"/>
        <w:spacing w:before="156" w:beforeLines="50" w:after="156" w:afterLines="50" w:line="360" w:lineRule="auto"/>
        <w:jc w:val="center"/>
        <w:rPr>
          <w:rFonts w:cs="Times New Roman" w:asciiTheme="majorEastAsia" w:hAnsiTheme="majorEastAsia" w:eastAsiaTheme="majorEastAsia"/>
          <w:b/>
          <w:sz w:val="44"/>
          <w:szCs w:val="40"/>
          <w:lang w:val="en-US" w:eastAsia="zh-CN" w:bidi="zh-CN"/>
        </w:rPr>
      </w:pPr>
    </w:p>
    <w:p w14:paraId="437D3FDD">
      <w:pPr>
        <w:pStyle w:val="15"/>
        <w:spacing w:before="156" w:beforeLines="50" w:after="156" w:afterLines="50" w:line="360" w:lineRule="auto"/>
        <w:rPr>
          <w:rFonts w:asciiTheme="majorEastAsia" w:hAnsiTheme="majorEastAsia" w:eastAsiaTheme="majorEastAsia"/>
          <w:b/>
          <w:sz w:val="44"/>
          <w:lang w:eastAsia="zh-CN"/>
        </w:rPr>
      </w:pPr>
    </w:p>
    <w:p w14:paraId="3707E072">
      <w:pPr>
        <w:pStyle w:val="15"/>
        <w:spacing w:before="156" w:beforeLines="50" w:after="156" w:afterLines="50" w:line="360" w:lineRule="auto"/>
        <w:ind w:left="1606" w:hanging="1606" w:hangingChars="500"/>
        <w:rPr>
          <w:rFonts w:asciiTheme="majorEastAsia" w:hAnsiTheme="majorEastAsia" w:eastAsiaTheme="majorEastAsia"/>
          <w:b/>
          <w:sz w:val="32"/>
          <w:szCs w:val="32"/>
        </w:rPr>
      </w:pPr>
      <w:r>
        <w:rPr>
          <w:rFonts w:asciiTheme="majorEastAsia" w:hAnsiTheme="majorEastAsia" w:eastAsiaTheme="majorEastAsia"/>
          <w:b/>
          <w:sz w:val="32"/>
          <w:szCs w:val="32"/>
          <w:lang w:eastAsia="zh-CN"/>
        </w:rPr>
        <w:t>项目名称</w:t>
      </w:r>
      <w:r>
        <w:rPr>
          <w:rFonts w:hint="eastAsia" w:asciiTheme="majorEastAsia" w:hAnsiTheme="majorEastAsia" w:eastAsiaTheme="majorEastAsia"/>
          <w:b/>
          <w:sz w:val="30"/>
          <w:szCs w:val="30"/>
          <w:lang w:eastAsia="zh-CN"/>
        </w:rPr>
        <w:t>：2022年天津市宁河区芦台一中迁址新建项目</w:t>
      </w:r>
    </w:p>
    <w:p w14:paraId="443A431D">
      <w:pPr>
        <w:pStyle w:val="15"/>
        <w:spacing w:before="156" w:beforeLines="50" w:after="156" w:afterLines="50" w:line="360" w:lineRule="auto"/>
        <w:rPr>
          <w:rFonts w:asciiTheme="majorEastAsia" w:hAnsiTheme="majorEastAsia" w:eastAsiaTheme="majorEastAsia"/>
          <w:b/>
          <w:sz w:val="32"/>
          <w:szCs w:val="32"/>
          <w:lang w:eastAsia="zh-CN"/>
        </w:rPr>
      </w:pPr>
      <w:r>
        <w:rPr>
          <w:rFonts w:asciiTheme="majorEastAsia" w:hAnsiTheme="majorEastAsia" w:eastAsiaTheme="majorEastAsia"/>
          <w:b/>
          <w:sz w:val="32"/>
          <w:szCs w:val="32"/>
          <w:lang w:eastAsia="zh-CN"/>
        </w:rPr>
        <w:t>项目单位</w:t>
      </w:r>
      <w:r>
        <w:rPr>
          <w:rFonts w:hint="eastAsia" w:asciiTheme="majorEastAsia" w:hAnsiTheme="majorEastAsia" w:eastAsiaTheme="majorEastAsia"/>
          <w:b/>
          <w:sz w:val="32"/>
          <w:szCs w:val="32"/>
          <w:lang w:eastAsia="zh-CN"/>
        </w:rPr>
        <w:t>：天津市宁河区教育局</w:t>
      </w:r>
    </w:p>
    <w:p w14:paraId="0A2D973D">
      <w:pPr>
        <w:pStyle w:val="15"/>
        <w:spacing w:before="156" w:beforeLines="50" w:after="156" w:afterLines="50" w:line="360" w:lineRule="auto"/>
        <w:rPr>
          <w:rFonts w:asciiTheme="majorEastAsia" w:hAnsiTheme="majorEastAsia" w:eastAsiaTheme="majorEastAsia"/>
          <w:b/>
          <w:sz w:val="32"/>
          <w:szCs w:val="32"/>
          <w:lang w:eastAsia="zh-CN"/>
        </w:rPr>
      </w:pPr>
      <w:r>
        <w:rPr>
          <w:rFonts w:hint="eastAsia" w:asciiTheme="majorEastAsia" w:hAnsiTheme="majorEastAsia" w:eastAsiaTheme="majorEastAsia"/>
          <w:b/>
          <w:sz w:val="32"/>
          <w:szCs w:val="32"/>
          <w:lang w:eastAsia="zh-CN"/>
        </w:rPr>
        <w:t>委托部门：天津市宁河区财政局</w:t>
      </w:r>
    </w:p>
    <w:p w14:paraId="120FC1A0">
      <w:pPr>
        <w:pStyle w:val="15"/>
        <w:spacing w:before="156" w:beforeLines="50" w:after="156" w:afterLines="50" w:line="360" w:lineRule="auto"/>
        <w:rPr>
          <w:rFonts w:asciiTheme="majorEastAsia" w:hAnsiTheme="majorEastAsia" w:eastAsiaTheme="majorEastAsia"/>
          <w:b/>
          <w:sz w:val="44"/>
          <w:lang w:eastAsia="zh-CN"/>
        </w:rPr>
      </w:pPr>
      <w:r>
        <w:rPr>
          <w:rFonts w:hint="eastAsia" w:asciiTheme="majorEastAsia" w:hAnsiTheme="majorEastAsia" w:eastAsiaTheme="majorEastAsia"/>
          <w:b/>
          <w:sz w:val="32"/>
          <w:szCs w:val="32"/>
          <w:lang w:eastAsia="zh-CN"/>
        </w:rPr>
        <w:t>评估机构：立信中联会计师事务所（特殊普通合伙）</w:t>
      </w:r>
      <w:r>
        <w:rPr>
          <w:rFonts w:asciiTheme="majorEastAsia" w:hAnsiTheme="majorEastAsia" w:eastAsiaTheme="majorEastAsia"/>
          <w:b/>
          <w:sz w:val="44"/>
          <w:lang w:eastAsia="zh-CN"/>
        </w:rPr>
        <w:t xml:space="preserve"> </w:t>
      </w:r>
    </w:p>
    <w:p w14:paraId="0183CF07">
      <w:pPr>
        <w:pStyle w:val="15"/>
        <w:spacing w:before="156" w:beforeLines="50" w:after="156" w:afterLines="50" w:line="360" w:lineRule="auto"/>
        <w:rPr>
          <w:rFonts w:asciiTheme="majorEastAsia" w:hAnsiTheme="majorEastAsia" w:eastAsiaTheme="majorEastAsia"/>
          <w:b/>
          <w:sz w:val="44"/>
          <w:lang w:eastAsia="zh-CN"/>
        </w:rPr>
      </w:pPr>
    </w:p>
    <w:p w14:paraId="38A9DFFD">
      <w:pPr>
        <w:pStyle w:val="15"/>
        <w:spacing w:before="156" w:beforeLines="50" w:after="156" w:afterLines="50" w:line="360" w:lineRule="auto"/>
        <w:rPr>
          <w:rFonts w:asciiTheme="majorEastAsia" w:hAnsiTheme="majorEastAsia" w:eastAsiaTheme="majorEastAsia"/>
          <w:b/>
          <w:sz w:val="44"/>
          <w:lang w:eastAsia="zh-CN"/>
        </w:rPr>
      </w:pPr>
    </w:p>
    <w:p w14:paraId="6802B956">
      <w:pPr>
        <w:pStyle w:val="15"/>
        <w:spacing w:before="156" w:beforeLines="50" w:after="156" w:afterLines="50" w:line="360" w:lineRule="auto"/>
        <w:rPr>
          <w:rFonts w:asciiTheme="majorEastAsia" w:hAnsiTheme="majorEastAsia" w:eastAsiaTheme="majorEastAsia"/>
          <w:b/>
          <w:sz w:val="44"/>
          <w:lang w:eastAsia="zh-CN"/>
        </w:rPr>
      </w:pPr>
    </w:p>
    <w:p w14:paraId="4B8D0809">
      <w:pPr>
        <w:pStyle w:val="15"/>
        <w:spacing w:before="156" w:beforeLines="50" w:after="156" w:afterLines="50" w:line="360" w:lineRule="auto"/>
        <w:ind w:firstLine="2564" w:firstLineChars="798"/>
        <w:rPr>
          <w:rFonts w:asciiTheme="majorEastAsia" w:hAnsiTheme="majorEastAsia" w:eastAsiaTheme="majorEastAsia"/>
          <w:b/>
          <w:sz w:val="32"/>
          <w:szCs w:val="32"/>
        </w:rPr>
      </w:pPr>
      <w:r>
        <w:rPr>
          <w:rFonts w:hint="eastAsia" w:asciiTheme="majorEastAsia" w:hAnsiTheme="majorEastAsia" w:eastAsiaTheme="majorEastAsia"/>
          <w:b/>
          <w:sz w:val="32"/>
          <w:szCs w:val="32"/>
          <w:lang w:eastAsia="zh-CN"/>
        </w:rPr>
        <w:t>二〇二一</w:t>
      </w:r>
      <w:r>
        <w:rPr>
          <w:rFonts w:hint="eastAsia" w:asciiTheme="majorEastAsia" w:hAnsiTheme="majorEastAsia" w:eastAsiaTheme="majorEastAsia"/>
          <w:b/>
          <w:sz w:val="32"/>
          <w:szCs w:val="32"/>
        </w:rPr>
        <w:t>年</w:t>
      </w:r>
      <w:r>
        <w:rPr>
          <w:rFonts w:hint="eastAsia" w:asciiTheme="majorEastAsia" w:hAnsiTheme="majorEastAsia" w:eastAsiaTheme="majorEastAsia"/>
          <w:b/>
          <w:sz w:val="32"/>
          <w:szCs w:val="32"/>
          <w:lang w:eastAsia="zh-CN"/>
        </w:rPr>
        <w:t>十一</w:t>
      </w:r>
      <w:r>
        <w:rPr>
          <w:rFonts w:hint="eastAsia" w:asciiTheme="majorEastAsia" w:hAnsiTheme="majorEastAsia" w:eastAsiaTheme="majorEastAsia"/>
          <w:b/>
          <w:sz w:val="32"/>
          <w:szCs w:val="32"/>
        </w:rPr>
        <w:t>月</w:t>
      </w:r>
      <w:r>
        <w:rPr>
          <w:rFonts w:hint="eastAsia" w:asciiTheme="majorEastAsia" w:hAnsiTheme="majorEastAsia" w:eastAsiaTheme="majorEastAsia"/>
          <w:b/>
          <w:sz w:val="32"/>
          <w:szCs w:val="32"/>
          <w:lang w:eastAsia="zh-CN"/>
        </w:rPr>
        <w:t>一</w:t>
      </w:r>
      <w:r>
        <w:rPr>
          <w:rFonts w:hint="eastAsia" w:asciiTheme="majorEastAsia" w:hAnsiTheme="majorEastAsia" w:eastAsiaTheme="majorEastAsia"/>
          <w:b/>
          <w:sz w:val="32"/>
          <w:szCs w:val="32"/>
        </w:rPr>
        <w:t>日</w:t>
      </w:r>
    </w:p>
    <w:p w14:paraId="7C7A1B68">
      <w:pPr>
        <w:jc w:val="center"/>
        <w:rPr>
          <w:lang w:val="zh-TW" w:bidi="zh-TW"/>
        </w:rPr>
      </w:pPr>
    </w:p>
    <w:p w14:paraId="737A5253">
      <w:pPr>
        <w:jc w:val="center"/>
        <w:rPr>
          <w:lang w:val="zh-TW" w:bidi="zh-TW"/>
        </w:rPr>
      </w:pPr>
    </w:p>
    <w:p w14:paraId="65CFB3D9">
      <w:pPr>
        <w:pStyle w:val="21"/>
        <w:tabs>
          <w:tab w:val="left" w:pos="8190"/>
          <w:tab w:val="left" w:pos="8205"/>
        </w:tabs>
        <w:spacing w:line="480" w:lineRule="auto"/>
        <w:ind w:firstLine="0"/>
        <w:rPr>
          <w:rFonts w:asciiTheme="minorHAnsi" w:hAnsiTheme="minorHAnsi" w:eastAsiaTheme="minorEastAsia" w:cstheme="minorBidi"/>
          <w:sz w:val="21"/>
          <w:szCs w:val="22"/>
          <w:lang w:eastAsia="zh-CN"/>
        </w:rPr>
      </w:pPr>
    </w:p>
    <w:p w14:paraId="6C336D89">
      <w:pPr>
        <w:pStyle w:val="21"/>
        <w:tabs>
          <w:tab w:val="left" w:pos="8190"/>
          <w:tab w:val="left" w:pos="8205"/>
        </w:tabs>
        <w:spacing w:line="480" w:lineRule="auto"/>
        <w:ind w:firstLine="522"/>
        <w:rPr>
          <w:rFonts w:asciiTheme="minorEastAsia" w:hAnsiTheme="minorEastAsia" w:eastAsiaTheme="minorEastAsia"/>
          <w:b/>
          <w:sz w:val="28"/>
          <w:lang w:eastAsia="zh-CN"/>
        </w:rPr>
      </w:pPr>
      <w:r>
        <w:rPr>
          <w:rFonts w:hint="eastAsia" w:asciiTheme="minorEastAsia" w:hAnsiTheme="minorEastAsia" w:eastAsiaTheme="minorEastAsia"/>
          <w:b/>
          <w:sz w:val="28"/>
        </w:rPr>
        <w:t>一、</w:t>
      </w:r>
      <w:r>
        <w:rPr>
          <w:rFonts w:hint="eastAsia" w:asciiTheme="minorEastAsia" w:hAnsiTheme="minorEastAsia" w:eastAsiaTheme="minorEastAsia"/>
          <w:b/>
          <w:sz w:val="28"/>
          <w:lang w:eastAsia="zh-CN"/>
        </w:rPr>
        <w:t>项目基本信息</w:t>
      </w:r>
    </w:p>
    <w:p w14:paraId="0BFE1B95">
      <w:pPr>
        <w:pStyle w:val="21"/>
        <w:tabs>
          <w:tab w:val="left" w:pos="8190"/>
          <w:tab w:val="left" w:pos="8205"/>
        </w:tabs>
        <w:spacing w:line="480" w:lineRule="auto"/>
        <w:ind w:firstLine="522"/>
        <w:rPr>
          <w:rFonts w:asciiTheme="minorEastAsia" w:hAnsiTheme="minorEastAsia" w:eastAsiaTheme="minorEastAsia"/>
          <w:b/>
          <w:lang w:eastAsia="zh-CN"/>
        </w:rPr>
      </w:pPr>
      <w:r>
        <w:rPr>
          <w:rFonts w:hint="eastAsia" w:asciiTheme="minorEastAsia" w:hAnsiTheme="minorEastAsia" w:eastAsiaTheme="minorEastAsia"/>
        </w:rPr>
        <w:t>项目名称</w:t>
      </w:r>
      <w:r>
        <w:rPr>
          <w:rFonts w:hint="eastAsia" w:asciiTheme="minorEastAsia" w:hAnsiTheme="minorEastAsia" w:eastAsiaTheme="minorEastAsia"/>
          <w:lang w:eastAsia="zh-CN"/>
        </w:rPr>
        <w:t>:</w:t>
      </w:r>
      <w:r>
        <w:rPr>
          <w:rFonts w:hint="eastAsia"/>
        </w:rPr>
        <w:t xml:space="preserve"> </w:t>
      </w:r>
      <w:r>
        <w:rPr>
          <w:rFonts w:hint="eastAsia" w:asciiTheme="minorEastAsia" w:hAnsiTheme="minorEastAsia" w:eastAsiaTheme="minorEastAsia"/>
          <w:lang w:eastAsia="zh-CN"/>
        </w:rPr>
        <w:t>2022年天津市宁河区芦台一中迁址新建项目</w:t>
      </w:r>
    </w:p>
    <w:p w14:paraId="2E74CB84">
      <w:pPr>
        <w:pStyle w:val="21"/>
        <w:tabs>
          <w:tab w:val="left" w:pos="8190"/>
          <w:tab w:val="left" w:pos="8205"/>
        </w:tabs>
        <w:spacing w:line="480" w:lineRule="auto"/>
        <w:ind w:firstLine="520" w:firstLineChars="200"/>
        <w:rPr>
          <w:rFonts w:asciiTheme="minorEastAsia" w:hAnsiTheme="minorEastAsia" w:eastAsiaTheme="minorEastAsia"/>
        </w:rPr>
      </w:pPr>
      <w:r>
        <w:rPr>
          <w:rFonts w:hint="eastAsia" w:asciiTheme="minorEastAsia" w:hAnsiTheme="minorEastAsia" w:eastAsiaTheme="minorEastAsia"/>
        </w:rPr>
        <w:t>项目单位：天津市宁河区教育局</w:t>
      </w:r>
    </w:p>
    <w:p w14:paraId="51B05D1F">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rPr>
        <w:t>项目属性：</w:t>
      </w:r>
      <w:r>
        <w:rPr>
          <w:rFonts w:hint="eastAsia" w:asciiTheme="minorEastAsia" w:hAnsiTheme="minorEastAsia" w:eastAsiaTheme="minorEastAsia"/>
          <w:lang w:eastAsia="zh-CN"/>
        </w:rPr>
        <w:t>一次性</w:t>
      </w:r>
      <w:r>
        <w:rPr>
          <w:rFonts w:hint="eastAsia" w:asciiTheme="minorEastAsia" w:hAnsiTheme="minorEastAsia" w:eastAsiaTheme="minorEastAsia"/>
        </w:rPr>
        <w:t>项目</w:t>
      </w:r>
    </w:p>
    <w:p w14:paraId="75F143C0">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项目绩效目标：通过实施芦台一中迁址新建工程，新建1所设计办学规模60个教学班的高中，建筑面积7.99万平方米，计划总投资54744万元，符合工程施工质量验收相关要求，按时投入使用；有效满足优质高中学位资源需求，可满足高中学位供给年限≥10年；确保服务对象满意度均达到90%以上，落实国家和我市中长期教育改革和发展规划纲要的相关要求，进一步改善芦台一中办学条件，推动我区高中教育事业的发展，满足我区优质高中学位资源需求。</w:t>
      </w:r>
    </w:p>
    <w:p w14:paraId="43C1269E">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申请资金总额</w:t>
      </w:r>
      <w:r>
        <w:rPr>
          <w:rFonts w:hint="eastAsia" w:asciiTheme="minorEastAsia" w:hAnsiTheme="minorEastAsia" w:eastAsiaTheme="minorEastAsia"/>
          <w:lang w:eastAsia="zh-CN"/>
        </w:rPr>
        <w:t>：4466</w:t>
      </w:r>
      <w:r>
        <w:rPr>
          <w:rFonts w:asciiTheme="minorEastAsia" w:hAnsiTheme="minorEastAsia" w:eastAsiaTheme="minorEastAsia"/>
          <w:lang w:eastAsia="zh-CN"/>
        </w:rPr>
        <w:t>万元</w:t>
      </w:r>
    </w:p>
    <w:p w14:paraId="63F35DA1">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rPr>
        <w:t>其中申请财政资金</w:t>
      </w:r>
      <w:r>
        <w:rPr>
          <w:rFonts w:hint="eastAsia" w:asciiTheme="minorEastAsia" w:hAnsiTheme="minorEastAsia" w:eastAsiaTheme="minorEastAsia"/>
          <w:lang w:eastAsia="zh-CN"/>
        </w:rPr>
        <w:t>：4466</w:t>
      </w:r>
      <w:r>
        <w:rPr>
          <w:rFonts w:hint="eastAsia" w:asciiTheme="minorEastAsia" w:hAnsiTheme="minorEastAsia" w:eastAsiaTheme="minorEastAsia"/>
        </w:rPr>
        <w:t>万元</w:t>
      </w:r>
    </w:p>
    <w:p w14:paraId="0A5BC85A">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项目概况：按照天津市教育改革和发展要求，根据《宁河区教育布局调整及发展规划（2013—2020年）》和宁河区2016年教育工作安排要求，为进一步推进区域教育均衡化，实施芦台一中迁址新建工程。</w:t>
      </w:r>
    </w:p>
    <w:p w14:paraId="7E21D685">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项目主要建设内容包括食堂及后勤服务中心、学生宿舍、篮球场、附属建筑,景观及绿化工程、道路及室外管网等配套工程。</w:t>
      </w:r>
    </w:p>
    <w:p w14:paraId="732FA480">
      <w:pPr>
        <w:pStyle w:val="21"/>
        <w:tabs>
          <w:tab w:val="left" w:pos="8190"/>
          <w:tab w:val="left" w:pos="8205"/>
        </w:tabs>
        <w:spacing w:line="480" w:lineRule="auto"/>
        <w:ind w:firstLine="520" w:firstLineChars="200"/>
        <w:rPr>
          <w:rFonts w:asciiTheme="minorEastAsia" w:hAnsiTheme="minorEastAsia" w:eastAsiaTheme="minorEastAsia"/>
          <w:lang w:eastAsia="zh-CN"/>
        </w:rPr>
      </w:pPr>
      <w:r>
        <w:rPr>
          <w:rFonts w:hint="eastAsia" w:asciiTheme="minorEastAsia" w:hAnsiTheme="minorEastAsia" w:eastAsiaTheme="minorEastAsia"/>
          <w:lang w:eastAsia="zh-CN"/>
        </w:rPr>
        <w:t>项目总占地面积45760.5平方米，总建筑面积30106平方米。</w:t>
      </w:r>
    </w:p>
    <w:p w14:paraId="05C6A9D4">
      <w:pPr>
        <w:pStyle w:val="21"/>
        <w:tabs>
          <w:tab w:val="left" w:pos="8190"/>
          <w:tab w:val="left" w:pos="8205"/>
        </w:tabs>
        <w:spacing w:line="480" w:lineRule="auto"/>
        <w:ind w:firstLine="520" w:firstLineChars="200"/>
        <w:rPr>
          <w:color w:val="000000"/>
          <w:lang w:eastAsia="zh-CN"/>
        </w:rPr>
      </w:pPr>
      <w:r>
        <w:rPr>
          <w:rFonts w:hint="eastAsia" w:asciiTheme="minorEastAsia" w:hAnsiTheme="minorEastAsia" w:eastAsiaTheme="minorEastAsia"/>
          <w:lang w:eastAsia="zh-CN"/>
        </w:rPr>
        <w:t>主要建设内容包括：学生宿舍20970平方米、食堂及后勤服务中心8840平方米、连廊168平方米、值班室20平方米、小宝塔76平方米、杏坛32平方米，以及运动场地、道路、绿地、室外配套工程等。</w:t>
      </w:r>
    </w:p>
    <w:p w14:paraId="316DF013">
      <w:pPr>
        <w:pStyle w:val="21"/>
        <w:tabs>
          <w:tab w:val="left" w:pos="8190"/>
          <w:tab w:val="left" w:pos="8205"/>
        </w:tabs>
        <w:spacing w:line="480" w:lineRule="auto"/>
        <w:ind w:firstLine="427" w:firstLineChars="152"/>
        <w:rPr>
          <w:rFonts w:asciiTheme="minorEastAsia" w:hAnsiTheme="minorEastAsia" w:eastAsiaTheme="minorEastAsia"/>
          <w:b/>
          <w:sz w:val="28"/>
        </w:rPr>
      </w:pPr>
      <w:r>
        <w:rPr>
          <w:rFonts w:hint="eastAsia" w:asciiTheme="minorEastAsia" w:hAnsiTheme="minorEastAsia" w:eastAsiaTheme="minorEastAsia"/>
          <w:b/>
          <w:sz w:val="28"/>
        </w:rPr>
        <w:t>二、评估方式和方法</w:t>
      </w:r>
    </w:p>
    <w:p w14:paraId="619FDC5F">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（一）评估程序</w:t>
      </w:r>
    </w:p>
    <w:p w14:paraId="4CD60FB0">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按照委托</w:t>
      </w:r>
      <w:r>
        <w:rPr>
          <w:rFonts w:hint="eastAsia" w:asciiTheme="minorEastAsia" w:hAnsiTheme="minorEastAsia" w:eastAsiaTheme="minorEastAsia"/>
          <w:lang w:eastAsia="zh-CN"/>
        </w:rPr>
        <w:t>部门</w:t>
      </w:r>
      <w:r>
        <w:rPr>
          <w:rFonts w:hint="eastAsia" w:asciiTheme="minorEastAsia" w:hAnsiTheme="minorEastAsia" w:eastAsiaTheme="minorEastAsia"/>
        </w:rPr>
        <w:t>批准的工作程序，评估工作具体包括准备、实施、总结三个阶段。具体如下：</w:t>
      </w:r>
    </w:p>
    <w:p w14:paraId="4B24B159">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1.准备阶段</w:t>
      </w:r>
    </w:p>
    <w:p w14:paraId="59B47813">
      <w:pPr>
        <w:pStyle w:val="21"/>
        <w:tabs>
          <w:tab w:val="left" w:pos="8190"/>
          <w:tab w:val="left" w:pos="8205"/>
        </w:tabs>
        <w:spacing w:line="480" w:lineRule="auto"/>
        <w:ind w:firstLine="397" w:firstLineChars="153"/>
        <w:rPr>
          <w:rFonts w:asciiTheme="minorEastAsia" w:hAnsiTheme="minorEastAsia" w:eastAsiaTheme="minorEastAsia"/>
          <w:lang w:eastAsia="zh-CN"/>
        </w:rPr>
      </w:pPr>
      <w:r>
        <w:rPr>
          <w:rFonts w:hint="eastAsia" w:asciiTheme="minorEastAsia" w:hAnsiTheme="minorEastAsia" w:eastAsiaTheme="minorEastAsia"/>
        </w:rPr>
        <w:t>组建评估工作组。评估机构组建评估工作组，组织开展事前评估各项工作；评估工作组与项目单位进行沟通，明确评估内容、工作流程、工作时间等具体安排。</w:t>
      </w:r>
    </w:p>
    <w:p w14:paraId="7B6F5B72">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制定工作方案。评估工作组结合事前绩效评估工作要求，拟定《项目前绩效评估工作方案》，包括评估对象、评价内容、评价方法、项目单位资料清单及时间安排等。</w:t>
      </w:r>
    </w:p>
    <w:p w14:paraId="7A142FDA">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2.实施阶段</w:t>
      </w:r>
    </w:p>
    <w:p w14:paraId="737CBFBE">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收集整理资料。评估工作组收集并整理项目单位提供的相关资料，初步了解项目预期绩效情况、绩效目标申报情况及评估材料准备情况，并提请单位补充缺少的资料。</w:t>
      </w:r>
    </w:p>
    <w:p w14:paraId="13D4DE7A">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项目评估辅导。鉴于项目单位资料整理过程中存在较多疑问，评估工作组通过电话沟通、资料分析、网络查询等方式对项目单位进行预期绩效报告撰写辅导，申报资料梳理等针对性辅导工作。</w:t>
      </w:r>
    </w:p>
    <w:p w14:paraId="6867AAEF">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组建评估专家组。评估工作组依据项目内容遴选绩效管理专家、行业专家和财政财务专家，组成事前评估专家组，并对评估专家进行相关培训。</w:t>
      </w:r>
    </w:p>
    <w:p w14:paraId="6C159100">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项目现场调研。评价工作组组织专家对项目进行现场调研。评价工作组及专家通过查阅项目补充资料、听取项目单位汇报、沟通质询等方式深入了解项目情况，对项目立项必要性、绩效目标合理性、实施方案可行性性、项目投入经济性以及资金筹措合规性等5个方面进行评估，出具项目评估意见。</w:t>
      </w:r>
    </w:p>
    <w:p w14:paraId="1268A8B6">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3.总结阶段</w:t>
      </w:r>
    </w:p>
    <w:p w14:paraId="541CFD65">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撰写评估报告。评估工作组汇总、分析专家评估意见，按照规定的文本格式和要求，撰写事前绩效评估报告；同时，整理事前绩效评估资料，归档备查。</w:t>
      </w:r>
    </w:p>
    <w:p w14:paraId="7731FD21">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提交评估报告。评估工作组向</w:t>
      </w:r>
      <w:r>
        <w:rPr>
          <w:rFonts w:hint="eastAsia" w:asciiTheme="minorEastAsia" w:hAnsiTheme="minorEastAsia" w:eastAsiaTheme="minorEastAsia"/>
          <w:lang w:eastAsia="zh-CN"/>
        </w:rPr>
        <w:t>宁河</w:t>
      </w:r>
      <w:r>
        <w:rPr>
          <w:rFonts w:hint="eastAsia" w:asciiTheme="minorEastAsia" w:hAnsiTheme="minorEastAsia" w:eastAsiaTheme="minorEastAsia"/>
        </w:rPr>
        <w:t>区财政局提交事前评估报告征求意见稿，并根据宁河区财政局反馈意见修改后，提交事前评估报告正式稿。</w:t>
      </w:r>
    </w:p>
    <w:p w14:paraId="53C8DB57">
      <w:pPr>
        <w:pStyle w:val="21"/>
        <w:tabs>
          <w:tab w:val="left" w:pos="8190"/>
          <w:tab w:val="left" w:pos="8205"/>
        </w:tabs>
        <w:spacing w:line="480" w:lineRule="auto"/>
        <w:ind w:firstLine="397" w:firstLineChars="153"/>
        <w:rPr>
          <w:rFonts w:asciiTheme="minorEastAsia" w:hAnsiTheme="minorEastAsia" w:eastAsiaTheme="minorEastAsia"/>
        </w:rPr>
      </w:pPr>
      <w:r>
        <w:rPr>
          <w:rFonts w:hint="eastAsia" w:asciiTheme="minorEastAsia" w:hAnsiTheme="minorEastAsia" w:eastAsiaTheme="minorEastAsia"/>
        </w:rPr>
        <w:t>（二）论证思路及方法</w:t>
      </w:r>
    </w:p>
    <w:p w14:paraId="5B93784A">
      <w:pPr>
        <w:pStyle w:val="21"/>
        <w:tabs>
          <w:tab w:val="left" w:pos="8190"/>
          <w:tab w:val="left" w:pos="8205"/>
        </w:tabs>
        <w:spacing w:line="480" w:lineRule="auto"/>
        <w:ind w:firstLine="397" w:firstLineChars="153"/>
        <w:rPr>
          <w:rFonts w:asciiTheme="minorEastAsia" w:hAnsiTheme="minorEastAsia" w:eastAsiaTheme="minorEastAsia"/>
          <w:lang w:eastAsia="zh-CN"/>
        </w:rPr>
      </w:pPr>
      <w:r>
        <w:rPr>
          <w:rFonts w:hint="eastAsia" w:asciiTheme="minorEastAsia" w:hAnsiTheme="minorEastAsia" w:eastAsiaTheme="minorEastAsia"/>
        </w:rPr>
        <w:t>本次事前绩效评估，由评估机构聘请的绩效管理专家、财政财务专家和行业专家组成专家组，通过查阅资料、听取项目情况介绍、质询等方式了解项目情况，主要围绕项目的立项必要性、绩效目标合理性、实施方案可行性、投入经济性、筹资合规性等5个方面对项目进行评估。为预算安排提供有力支撑，切实达到优化公共资源配置、提高政府理财和公共服务水平的目的。</w:t>
      </w:r>
    </w:p>
    <w:p w14:paraId="437A8700">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三、评估指标体系</w:t>
      </w:r>
    </w:p>
    <w:p w14:paraId="4E99D5DA">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（一）立项必要性</w:t>
      </w:r>
    </w:p>
    <w:p w14:paraId="7EADF7A4">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1、政策相关性</w:t>
      </w:r>
    </w:p>
    <w:p w14:paraId="73023A8C">
      <w:pPr>
        <w:spacing w:line="480" w:lineRule="auto"/>
        <w:ind w:firstLine="520" w:firstLineChars="200"/>
        <w:rPr>
          <w:rFonts w:asciiTheme="minorEastAsia" w:hAnsiTheme="minorEastAsia"/>
          <w:sz w:val="26"/>
          <w:szCs w:val="26"/>
        </w:rPr>
      </w:pPr>
      <w:r>
        <w:rPr>
          <w:rFonts w:asciiTheme="minorEastAsia" w:hAnsiTheme="minorEastAsia"/>
          <w:sz w:val="26"/>
          <w:szCs w:val="26"/>
        </w:rPr>
        <w:t>根据《</w:t>
      </w:r>
      <w:r>
        <w:rPr>
          <w:rFonts w:hint="eastAsia" w:asciiTheme="minorEastAsia" w:hAnsiTheme="minorEastAsia"/>
          <w:sz w:val="26"/>
          <w:szCs w:val="26"/>
        </w:rPr>
        <w:t>国家中长期教育改革和发展规划纲要（2010-2020年）</w:t>
      </w:r>
      <w:r>
        <w:rPr>
          <w:rFonts w:asciiTheme="minorEastAsia" w:hAnsiTheme="minorEastAsia"/>
          <w:sz w:val="26"/>
          <w:szCs w:val="26"/>
        </w:rPr>
        <w:t>》和《</w:t>
      </w:r>
      <w:r>
        <w:rPr>
          <w:rFonts w:hint="eastAsia" w:asciiTheme="minorEastAsia" w:hAnsiTheme="minorEastAsia"/>
          <w:sz w:val="26"/>
          <w:szCs w:val="26"/>
        </w:rPr>
        <w:t>天津市中长期教育改革和发展规划纲要 （2010-2020年）</w:t>
      </w:r>
      <w:r>
        <w:rPr>
          <w:rFonts w:asciiTheme="minorEastAsia" w:hAnsiTheme="minorEastAsia"/>
          <w:sz w:val="26"/>
          <w:szCs w:val="26"/>
        </w:rPr>
        <w:t>》</w:t>
      </w:r>
      <w:r>
        <w:rPr>
          <w:rFonts w:hint="eastAsia" w:asciiTheme="minorEastAsia" w:hAnsiTheme="minorEastAsia"/>
          <w:sz w:val="26"/>
          <w:szCs w:val="26"/>
        </w:rPr>
        <w:t>，提出“办好每一所学校 教好每一个学生”的核心理念，针对基础教育建设发展提出“高质量普及学前教育；高水平均衡发展义务教育；优质特色发展普通高中教育”等任务要求。按照宁河区整体发展规划，结合宁河现代产业园区和新市镇建设，制定实施《宁河区教育布局调整及发展规划（2013—2020年）》，合理调整学校布局，优化教育资源配置，满足人民群众对教育的新期待、新要求，更好地服务宁河经济社会发展。</w:t>
      </w:r>
    </w:p>
    <w:p w14:paraId="378D0352">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2、职能相关性</w:t>
      </w:r>
    </w:p>
    <w:p w14:paraId="37C5415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天津市宁河区教育局的职责是贯彻、执行党和国家的教育方针、政策。执行市有关教育工作的法规和规章；研究拟定全区教育发展规划，并组织实施。落实市教育体制改革有关政策；管理全区中等及以下各类教育，落实九年义务教育，扫除青壮年文盲，统筹管理全区社会力量办学工作。负责全区教育基础信息统计、分析和发布工作；落实对少数民族和边远省区的教育援助。负责落实国家语言文字方针、政策和规划，推广普通话；管理本部门教育经费；管理全区教育系统人事、劳资工作。负责教师和教育管理干部的队伍建设。负责全区教育系统专业技术职务评聘和管理工作；指导中等职业技术学校毕业生就业工作。管理全区各级各类学校考试、招生工作等。</w:t>
      </w:r>
    </w:p>
    <w:p w14:paraId="2569B886">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3、需求相关性</w:t>
      </w:r>
    </w:p>
    <w:p w14:paraId="63D8AC7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加快落实相关规划发展要求，加快天津市教育事业发展的需要。根据《国家中长期教育改革和发展规划纲要（2010-2020年）》，结合天津经济社会发展实际，制定了《天津市中长期教育改革和发展规划纲要（2010-2020年）》，提出“把促进公平作为基本的教育政策。依法保障公民享有受教育的权利，着力促进教育机会均等。在保障“有学上”的基础上，努力满足“上好学”的需要，实现学有所教、学有优教，满足人民群众对多样化、高质量教育的需求”。</w:t>
      </w:r>
    </w:p>
    <w:p w14:paraId="0A5C5AF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按照宁河区整体发展规划，制定实施《宁河区教育布局调整及发展规划（2013—2020年）》，合理调整学校布局，优化教育资源配置，满足人民群众对教育的新期待、新要求，更好地服务宁河区经济社会发展。本项目为桥北新区教育设施后勤服务配套工程，主要为芦台一中迁址新建校、及桥北新区其他教育设施配套服务。项目建设符合《宁河区教育布局调整及发展规划（2013—2020年）》，符合学校后勤服务逐步实行社会化政策方向。</w:t>
      </w:r>
    </w:p>
    <w:p w14:paraId="141BAA5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满足社会对高质量基础教育的需要。目前桥北新区无高中教育配套，教育资源不足，无法满足区域适龄学生就学要求。本项目建设完成后，一方面满足区域教育资源、调整配套需求，同时通过社会化资本流入，配备满足学校使用、符合青少年使用需求的生活服务设施，配备现代化的服务设备和一流的服务水平，满足人民群众对优质高中教育的需求。</w:t>
      </w:r>
    </w:p>
    <w:p w14:paraId="0462FDA4">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建设是政府与社会资本合作提高服务供给效率的新探索。本项目为桥北新区教育配套工程，可提供师生餐饮、住宿等后勤服务，由天津市宁河区兴宁建设投资集团有限公司投资开发建设，承担设计、融资、建设、运营、维护管理等工作。由使用学校及宁河区教育局负责本项目质量监督。本项目建设是宁河区在教育项目建设中引入政府和社会资本合作模式的新探索，是学校后勤服务社会化改革的新探索，一方面解决财政经费紧张问题，把区财政教育资金使用在提高教学设施和教学质量上，在财政预算方面减轻政府压力；另一方面社会资本介入基础设施和公共服务领域，有利于实现降低成本，提高服务供给效率。</w:t>
      </w:r>
    </w:p>
    <w:p w14:paraId="64A91FDE">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4、财政投入相关性</w:t>
      </w:r>
    </w:p>
    <w:p w14:paraId="473876B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百年大计，教育为本”，教育事业是一个国家和民族的根基，我国始终把科教兴国和人才强国作为国家发展的主导战略之一。基础教育作为造就人才和提高国民素质的奠基工程，在教育改革中占有重要地位。按照天津市教育改革和发展要求，宁河区始终把教育摆在优先发展的战略地位，深入实施教育兴区和人才强区战略。本项目为准经营性项目，有经营性收入，可获得使用者付费，但该收入不足以覆盖项目投资、运营成本及合理回报，需要宁河区政府提供可行性缺口补助。项目将采用“可行性缺口补助”付费模式，在项目公司获得使用者付费的同时，政府方向项目公司支付可行性缺口补助。</w:t>
      </w:r>
    </w:p>
    <w:p w14:paraId="5C2E457B">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项目具有公共性，属于公共财政支出的支持范围。</w:t>
      </w:r>
    </w:p>
    <w:p w14:paraId="762C701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评估认为，该项目立项必要性充分。该项目与国家、天津市、相关行业宏观政策相关，与预算部门的职能相关，具有现实需求，属于公共财政支出的支持范围。</w:t>
      </w:r>
    </w:p>
    <w:p w14:paraId="21D4746D">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（二）投入经济性</w:t>
      </w:r>
    </w:p>
    <w:p w14:paraId="6E83463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根据《天津市宁河区芦台一中迁址新建及教育配套工程PPP项目合同》第30.1条约定“本项目的可用性付费和运维绩效服务费在建设期内均不用向乙方支付，进入运营期后原则上每年支付2次，分别为每年的3月份和9月份内进入支付程序。”“甲方按照本合同第27条之规定，在运营期内每年对本项目的运营维护效果进行绩效评价，根据评价结果确定绩效考核系数S及政府支付规模，并及时、足额进行付费。”根据可行性缺口补助表，该项目2022年度政府付费规模为4466万元。</w:t>
      </w:r>
    </w:p>
    <w:p w14:paraId="3D2AD81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评估认为，该项目投入经济性合理。</w:t>
      </w:r>
    </w:p>
    <w:p w14:paraId="2FB1F335">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（三）绩效目标合理性</w:t>
      </w:r>
    </w:p>
    <w:p w14:paraId="58CBF8D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1、目标明确性</w:t>
      </w:r>
    </w:p>
    <w:p w14:paraId="24163FF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目标1：通过实施芦台一中迁址新建工程，新建1所设计办学规模60个教学班的高中，建筑面积7.99万平方米，计划总投资54744万元，符合工程施工质量验收相关要求，按时投入使用。目标2：通过项目实施，有效满足优质高中学位资源需求，可满足高中学位供给年限≥10年。目标3：确保服务对象满意度均达到90%以上，落实国家和我市中长期教育改革和发展规划纲要的相关要求，进一步改善芦台一中办学条件，推动我区高中教育事业的发展，满足我区优质高中学位资源需求。</w:t>
      </w:r>
    </w:p>
    <w:p w14:paraId="04A1149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评估认为，根据《政府和社会资本合作（PPP）项目绩效管理操作指引》要求，“PPP项目绩效目标包括总体绩效目标和年度绩效目标。”，该项目未设定总体绩效目标和年度绩效目标。</w:t>
      </w:r>
    </w:p>
    <w:p w14:paraId="329EC1BD">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2、目标合理性</w:t>
      </w:r>
    </w:p>
    <w:p w14:paraId="0F7B38F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数量指标为建设规模79900平方米，建设数量为1个；</w:t>
      </w:r>
    </w:p>
    <w:p w14:paraId="054441C2">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质量指标为项目竣工验收合格率100%，设计功能实现率≥90%；</w:t>
      </w:r>
    </w:p>
    <w:p w14:paraId="269B588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时效指标为项目完工率</w:t>
      </w:r>
      <w:r>
        <w:rPr>
          <w:rFonts w:asciiTheme="minorEastAsia" w:hAnsiTheme="minorEastAsia"/>
          <w:sz w:val="26"/>
          <w:szCs w:val="26"/>
        </w:rPr>
        <w:t>100%，</w:t>
      </w:r>
      <w:r>
        <w:rPr>
          <w:rFonts w:hint="eastAsia" w:asciiTheme="minorEastAsia" w:hAnsiTheme="minorEastAsia"/>
          <w:sz w:val="26"/>
          <w:szCs w:val="26"/>
        </w:rPr>
        <w:t>进度准时率≥95%；</w:t>
      </w:r>
    </w:p>
    <w:p w14:paraId="30A06E4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成本指标为单位建设成本≤6852元；</w:t>
      </w:r>
    </w:p>
    <w:p w14:paraId="15B3E3A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社会效益指标为满足优质高中学位资源需求；</w:t>
      </w:r>
    </w:p>
    <w:p w14:paraId="31313E2F">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可持续影响指标为至少10年满足高中学位供给；</w:t>
      </w:r>
    </w:p>
    <w:p w14:paraId="492B539C">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服务对象满意度指标为教职工及学生家长满意度≥90%。</w:t>
      </w:r>
    </w:p>
    <w:p w14:paraId="1E336CE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产出指标中的数量指标下，三级指标设置为建设数量，指标值设置为1个，指标设置不够细化，可围绕学位个数或班级个数等进行设置。</w:t>
      </w:r>
    </w:p>
    <w:p w14:paraId="35E59C9B">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评估认为，该项目绩效目标明确、合理，但是也存在绩效目标未设定总体绩效目标和年度绩效目标，绩效指标设置不够精准、细化的问题。</w:t>
      </w:r>
    </w:p>
    <w:p w14:paraId="44B5B31C">
      <w:pPr>
        <w:spacing w:before="156" w:beforeLines="50" w:after="156" w:afterLines="50" w:line="480" w:lineRule="auto"/>
        <w:ind w:firstLine="522" w:firstLineChars="200"/>
        <w:rPr>
          <w:rFonts w:asciiTheme="minorEastAsia" w:hAnsiTheme="minorEastAsia"/>
          <w:b/>
          <w:sz w:val="26"/>
          <w:szCs w:val="26"/>
        </w:rPr>
      </w:pPr>
      <w:r>
        <w:rPr>
          <w:rFonts w:hint="eastAsia" w:asciiTheme="minorEastAsia" w:hAnsiTheme="minorEastAsia"/>
          <w:b/>
          <w:sz w:val="26"/>
          <w:szCs w:val="26"/>
        </w:rPr>
        <w:t>（四）实施方案可行性</w:t>
      </w:r>
    </w:p>
    <w:p w14:paraId="09A519FC">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1、实施内容明确性</w:t>
      </w:r>
    </w:p>
    <w:p w14:paraId="1DE27FBD">
      <w:pPr>
        <w:pStyle w:val="21"/>
        <w:tabs>
          <w:tab w:val="left" w:pos="970"/>
        </w:tabs>
        <w:spacing w:line="480" w:lineRule="auto"/>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本项目拟采用政府与社会资本合作模式进行建设和运营。天津市宁河区兴宁建设投资集团有限公司负责建设天津市宁河区桥北新区教育配套工程。天津市宁河区兴宁建设投资集团有限公司代表政府一方，通过公开招标程序选择社会资本一方，签订政府与社会资本合作协议。协议双方按照一定股权比例共同组建项目公司，由该项目公司具体负责工程建设和运营管理。</w:t>
      </w:r>
    </w:p>
    <w:p w14:paraId="154B2910">
      <w:pPr>
        <w:pStyle w:val="21"/>
        <w:tabs>
          <w:tab w:val="left" w:pos="970"/>
        </w:tabs>
        <w:spacing w:line="480" w:lineRule="auto"/>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资金来源为：项目资本金占总投资20%，即5022万元。其中项目资本金的20%，即1004万元，由天津市宁河区兴宁建设投资集团有限公司出资；项目资本金的80%，即4018万元，由社会资本出资。其余80%投资，即20090万元，为银行贷款。</w:t>
      </w:r>
    </w:p>
    <w:p w14:paraId="7F731583">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投资回报方式为：本项目为政府付费项目。政府一方不获取股权回报。在运营期内，双方按照商定的回报比例，由政府对社会资本一方出资的资本金部分按等额还本利息照付的方式还款。政府负责银行贷款的本息偿还。</w:t>
      </w:r>
    </w:p>
    <w:p w14:paraId="7D0D4676">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2、实施方案可行性</w:t>
      </w:r>
    </w:p>
    <w:p w14:paraId="01551116">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天津市宁河区兴宁建设投资集团有限公司与社会资本单位组建项目公司，该项目公司作为项目法人负责项目规划设计、施工管理、基建财务、设备采购等工作。项目公司对项目建设的全过程包括项目管理、招标、设计、监理、施工等单位进行有效监控，并注意与学校、及宁河区和桥北新区相关单位的沟通和协调，保障项目的工期、质量和造价三个目标同时实现。</w:t>
      </w:r>
    </w:p>
    <w:p w14:paraId="377D21FB">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3、过程控制有效性</w:t>
      </w:r>
    </w:p>
    <w:p w14:paraId="568D5B5F">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该项目执行中管理控制内容为：</w:t>
      </w:r>
    </w:p>
    <w:p w14:paraId="07F731DE">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建立项目法人制，成立项目公司，建立项目管理机构，并任命专职项目经理，由项目经理全权组织项目实施。</w:t>
      </w:r>
    </w:p>
    <w:p w14:paraId="3140C9C5">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实行招投标制，对工程勘察、设计、施工、监理、主要材料、设备供应单位全部通过招标选定，并严格履行签订的合同。</w:t>
      </w:r>
    </w:p>
    <w:p w14:paraId="1D896648">
      <w:pPr>
        <w:pStyle w:val="21"/>
        <w:tabs>
          <w:tab w:val="left" w:pos="970"/>
        </w:tabs>
        <w:spacing w:line="48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建立目标管理体系，建立全过程管理，包括：（1）项目进度控制：根据《网络计划技术》（GB/T13400.1—1992、GB/T13400.2—2009、GB/T13400.3—2009）及《工程网络计划技术规程》（JGJ/T121—99）规定，编制总进度计划和子项目进度计划。（2）项目质量控制：按2000年版GB/T19000族标准，坚持“质量第一，预防为主”的方针和“计划、执行、检查、处理”循环工作方法，不断改进质量控制。（3）项目安全控制：项目经理应建立安全管理体系和安全生产责任制。设立项目安全员并应持证上岗，保证项目安全目标的实现。（4）项目成本控制：对项目成本进行预测、计划、实施、核算、分析、考核、整理成本资料，并编制成本报告。（5）项目生产要素管理：包括项目人力资源管理、项目材料管理、项目机械设备管理、项目技术管理、项目资金管理。各项目生产要素应优化配置，动态控制，并降低成本。（6）项目合同管理：项目施工合同管理范围应包括合同的订立、履行、变更、终止和争议解决。项目建设单位委托律师，根据《中华人民共和国民典法》规定，对项目合同进行管理。（7）项目信息管理：项目经理部建立信息管理系统（MIS），优化信息结构，实现项目管理的信息化，确保信息准确、完整地传递给各信息需要点。（8）项目现场管理：项目经理部应搞好现场管理，做到文明施工，安全有序，整洁卫生，不扰民，现场门头设承包人标志和工程概况牌，规范场容，做好环境保护、防火保安和卫生防疫工作。（9）项目组织协调：项目经理部应做好人际关系、组织机构关系、供求关系、协作配合关系的协调，排除矛盾，保证项目目标的顺利实现。（10）项目竣工验收：项目建设单位应与项目承包方进行工程交付工作，其程序按竣工验收准备、编制竣工验收计划、组织现场验收、进行竣工结算、移交竣工资料、办理交工手续依次进行。</w:t>
      </w:r>
    </w:p>
    <w:p w14:paraId="3B259838">
      <w:pPr>
        <w:pStyle w:val="21"/>
        <w:tabs>
          <w:tab w:val="left" w:pos="970"/>
        </w:tabs>
        <w:spacing w:before="156" w:beforeLines="50" w:after="156" w:afterLines="50" w:line="360" w:lineRule="auto"/>
        <w:jc w:val="both"/>
        <w:rPr>
          <w:rFonts w:asciiTheme="minorEastAsia" w:hAnsiTheme="minorEastAsia" w:eastAsiaTheme="minorEastAsia" w:cstheme="minorBidi"/>
          <w:lang w:val="en-US" w:eastAsia="zh-CN" w:bidi="ar-SA"/>
        </w:rPr>
      </w:pPr>
      <w:r>
        <w:rPr>
          <w:rFonts w:hint="eastAsia" w:asciiTheme="minorEastAsia" w:hAnsiTheme="minorEastAsia" w:eastAsiaTheme="minorEastAsia" w:cstheme="minorBidi"/>
          <w:lang w:val="en-US" w:eastAsia="zh-CN" w:bidi="ar-SA"/>
        </w:rPr>
        <w:t>评估认为，该项目实施方案具备有效性，实方案施内容明确，实施方案可行，项目执行中过程控制具备有效性。</w:t>
      </w:r>
    </w:p>
    <w:p w14:paraId="2C4D81CC">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（五）筹资合规性</w:t>
      </w:r>
    </w:p>
    <w:p w14:paraId="347946B4">
      <w:pPr>
        <w:spacing w:before="156" w:beforeLines="50" w:after="156" w:afterLines="50" w:line="360" w:lineRule="auto"/>
        <w:ind w:firstLine="520" w:firstLineChars="200"/>
        <w:rPr>
          <w:rFonts w:asciiTheme="minorEastAsia" w:hAnsiTheme="minorEastAsia"/>
          <w:sz w:val="26"/>
          <w:szCs w:val="26"/>
        </w:rPr>
      </w:pPr>
      <w:r>
        <w:rPr>
          <w:rFonts w:hint="eastAsia" w:asciiTheme="minorEastAsia" w:hAnsiTheme="minorEastAsia"/>
          <w:sz w:val="26"/>
          <w:szCs w:val="26"/>
        </w:rPr>
        <w:t>根据《天津市宁河区芦台一中迁址新建及教育配套工程PPP项目合同》第30.1条约定“本项目的可用性付费和运维绩效服务费在建设期内均不用向乙方支付，进入运营期后原则上每年支付2次，分别为每年的3月份和9月份内进入支付程序。”“甲方按照本合同第27条之规定，在运营期内每年对本项目的运营维护效果进行绩效评价，根据评价结果确定绩效考核系数S及政府支付规模，并及时、足额进行付费。”以及4.2项目投融资结构和4.3项目回报机制等规定，根据财金【2019】10号文、财金【2020】13号文的规定以及上述PPP项目合同的约定，政府付费应结合绩效考核结果，按照付费公式计算后进行支付。</w:t>
      </w:r>
    </w:p>
    <w:p w14:paraId="2B9A27D5">
      <w:pPr>
        <w:spacing w:before="156" w:beforeLines="50" w:after="156" w:afterLines="50" w:line="360" w:lineRule="auto"/>
        <w:ind w:firstLine="520" w:firstLineChars="200"/>
        <w:rPr>
          <w:rFonts w:asciiTheme="minorEastAsia" w:hAnsiTheme="minorEastAsia"/>
          <w:sz w:val="26"/>
          <w:szCs w:val="26"/>
        </w:rPr>
      </w:pPr>
      <w:r>
        <w:rPr>
          <w:rFonts w:hint="eastAsia" w:asciiTheme="minorEastAsia" w:hAnsiTheme="minorEastAsia"/>
          <w:sz w:val="26"/>
          <w:szCs w:val="26"/>
        </w:rPr>
        <w:t>评估认为，该项目筹资具备合规性。项目资金筹措程序有相关论证资料，财政资金支持方式科学合理。</w:t>
      </w:r>
    </w:p>
    <w:p w14:paraId="53F6D1F2">
      <w:pPr>
        <w:spacing w:line="480" w:lineRule="auto"/>
        <w:ind w:firstLine="522" w:firstLineChars="200"/>
        <w:rPr>
          <w:rFonts w:asciiTheme="minorEastAsia" w:hAnsiTheme="minorEastAsia"/>
          <w:b/>
          <w:sz w:val="26"/>
          <w:szCs w:val="26"/>
        </w:rPr>
      </w:pPr>
      <w:r>
        <w:rPr>
          <w:rFonts w:hint="eastAsia" w:asciiTheme="minorEastAsia" w:hAnsiTheme="minorEastAsia"/>
          <w:b/>
          <w:sz w:val="26"/>
          <w:szCs w:val="26"/>
        </w:rPr>
        <w:t>四、问题分析</w:t>
      </w:r>
    </w:p>
    <w:p w14:paraId="3EE11A4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该项目为PPP模式，政府吸引民营资本投入到教育领域项目，以弥补公共财政资金的不足，缓解财政压力，加快推进教育事业的发展；于社会资本而言，由于与政府形成合作伙伴关系，可获得稳定可靠的收入来源，从而降低资金风险，提高参与积极性。但是该项目存在如下几个问题：</w:t>
      </w:r>
    </w:p>
    <w:p w14:paraId="5CB96503">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一、《政府和社会资本合作（PPP）项目绩效管理操作指引》要求，“PPP项目绩效目标包括总体绩效目标和年度绩效目标。”，该项目绩效目标未设定总体绩效目标和年度绩效目标，个别绩效指标设置不够精准、细化。</w:t>
      </w:r>
    </w:p>
    <w:p w14:paraId="4F651AC7">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二、《政府和社会资本合作（PPP）项目绩效管理操作指引》要求，“结合PPP项目实施进度及按效付费的需要确定绩效评价时点。原则上项目建设期应结合竣工验收开展一次绩效评价，分期建设的项目应当结合各期子项目竣工验收开展绩效评价；项目运营期每年度应至少开展一次绩效评价，每3-5年应结合年度绩效评价情况对项目开展中期评估；移交完成后应开展一次后评价”，据了解，项目单位并未开展相关绩效评价。</w:t>
      </w:r>
    </w:p>
    <w:p w14:paraId="74C11357">
      <w:pPr>
        <w:spacing w:before="156" w:beforeLines="50" w:after="156" w:afterLines="50" w:line="480" w:lineRule="auto"/>
        <w:ind w:firstLine="522" w:firstLineChars="200"/>
        <w:rPr>
          <w:rFonts w:asciiTheme="minorEastAsia" w:hAnsiTheme="minorEastAsia"/>
          <w:b/>
          <w:sz w:val="26"/>
          <w:szCs w:val="26"/>
        </w:rPr>
      </w:pPr>
      <w:r>
        <w:rPr>
          <w:rFonts w:hint="eastAsia" w:asciiTheme="minorEastAsia" w:hAnsiTheme="minorEastAsia"/>
          <w:b/>
          <w:sz w:val="26"/>
          <w:szCs w:val="26"/>
        </w:rPr>
        <w:t>五、相关建议</w:t>
      </w:r>
    </w:p>
    <w:p w14:paraId="2E0FE2A6">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针对评估过程发现的问题及相关情况，提出以下预算绩效管理意见和建议，供委托方决策参考。</w:t>
      </w:r>
    </w:p>
    <w:p w14:paraId="3276BF77">
      <w:pPr>
        <w:spacing w:line="480" w:lineRule="auto"/>
        <w:rPr>
          <w:rFonts w:asciiTheme="minorEastAsia" w:hAnsiTheme="minorEastAsia"/>
          <w:sz w:val="26"/>
          <w:szCs w:val="26"/>
        </w:rPr>
      </w:pPr>
      <w:r>
        <w:rPr>
          <w:rFonts w:hint="eastAsia" w:asciiTheme="minorEastAsia" w:hAnsiTheme="minorEastAsia"/>
          <w:sz w:val="26"/>
          <w:szCs w:val="26"/>
        </w:rPr>
        <w:t xml:space="preserve">   一、建议进一步开展绩效管理培训，增强绩效管理意识。绩效管理是一项技术性专业性规范性较强的工作，建议各级管理部门按照预算管理的全流程环节，可按绩效目标管理、绩效运行监控和自评、绩效评价进行专项培训，按项目支出评价、单位整体支出评价、政策评价进行案例培训，全面提升预算执行主体和预算绩效管理主体的绩效管理水平。</w:t>
      </w:r>
    </w:p>
    <w:p w14:paraId="109C04CF">
      <w:pPr>
        <w:spacing w:line="480" w:lineRule="auto"/>
        <w:ind w:firstLine="520" w:firstLineChars="200"/>
        <w:rPr>
          <w:rFonts w:asciiTheme="minorEastAsia" w:hAnsiTheme="minorEastAsia"/>
          <w:sz w:val="26"/>
          <w:szCs w:val="26"/>
        </w:rPr>
      </w:pPr>
      <w:r>
        <w:rPr>
          <w:rFonts w:asciiTheme="minorEastAsia" w:hAnsiTheme="minorEastAsia"/>
          <w:sz w:val="26"/>
          <w:szCs w:val="26"/>
        </w:rPr>
        <w:t>二、建议</w:t>
      </w:r>
      <w:r>
        <w:rPr>
          <w:rFonts w:hint="eastAsia" w:asciiTheme="minorEastAsia" w:hAnsiTheme="minorEastAsia"/>
          <w:sz w:val="26"/>
          <w:szCs w:val="26"/>
        </w:rPr>
        <w:t>重视在执行PPP项目中，绩效评价对项目是否取得成效所起的重要作用。在财政部《关于推广运用政府和社会资本合作模式有关问题的通知》（财金〔2014〕76号）、国家发改委等6部委颁布的《基础设施和公用事业特许经营管理办法》、国家发改委《关于印发传统基础设施领域实施政府和社会资本合作项目工作导则的通知》（发改投资〔2016〕2231号）等近年出台的各项规定中均明确，绩效评价工作是监督与管理PPP项目规范执行的重要手段，也都明确要求PPP项目要进行绩效评价。同时也要注意，在设置绩效评价指标设置须考虑全生命周期。</w:t>
      </w:r>
    </w:p>
    <w:p w14:paraId="4C71451A">
      <w:pPr>
        <w:spacing w:line="360" w:lineRule="auto"/>
        <w:ind w:firstLine="522" w:firstLineChars="200"/>
        <w:rPr>
          <w:rFonts w:asciiTheme="minorEastAsia" w:hAnsiTheme="minorEastAsia"/>
          <w:b/>
          <w:sz w:val="26"/>
          <w:szCs w:val="26"/>
        </w:rPr>
      </w:pPr>
      <w:r>
        <w:rPr>
          <w:rFonts w:hint="eastAsia" w:asciiTheme="minorEastAsia" w:hAnsiTheme="minorEastAsia"/>
          <w:b/>
          <w:sz w:val="26"/>
          <w:szCs w:val="26"/>
        </w:rPr>
        <w:t>六、评估结论</w:t>
      </w:r>
    </w:p>
    <w:p w14:paraId="3074D05C">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该项目符合现实需求，与宁河区教育局职责基本相关；绩效目标、指标设置仍有完善的空间；需要重视绩效评价对PPP项目实施中所起的关键作用，从而进行相应的绩效评价工作。</w:t>
      </w:r>
    </w:p>
    <w:p w14:paraId="0C6A3211">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综上，综合评估，总体结论为：“予以支持”，建议预算支持4466万元。</w:t>
      </w:r>
    </w:p>
    <w:p w14:paraId="26A5A53B">
      <w:pPr>
        <w:spacing w:before="156" w:beforeLines="50" w:after="156" w:afterLines="50" w:line="360" w:lineRule="auto"/>
        <w:ind w:firstLine="522" w:firstLineChars="200"/>
        <w:rPr>
          <w:rFonts w:asciiTheme="minorEastAsia" w:hAnsiTheme="minorEastAsia"/>
          <w:b/>
          <w:sz w:val="26"/>
          <w:szCs w:val="26"/>
        </w:rPr>
      </w:pPr>
      <w:r>
        <w:rPr>
          <w:rFonts w:hint="eastAsia" w:asciiTheme="minorEastAsia" w:hAnsiTheme="minorEastAsia"/>
          <w:b/>
          <w:sz w:val="26"/>
          <w:szCs w:val="26"/>
        </w:rPr>
        <w:t>七、其他需要说明的问题</w:t>
      </w:r>
      <w:bookmarkStart w:id="0" w:name="_GoBack"/>
      <w:bookmarkEnd w:id="0"/>
    </w:p>
    <w:p w14:paraId="3BC090AA">
      <w:pPr>
        <w:spacing w:line="480" w:lineRule="auto"/>
        <w:ind w:firstLine="520" w:firstLineChars="200"/>
        <w:rPr>
          <w:rFonts w:asciiTheme="minorEastAsia" w:hAnsiTheme="minorEastAsia"/>
          <w:sz w:val="26"/>
          <w:szCs w:val="26"/>
        </w:rPr>
      </w:pPr>
      <w:r>
        <w:rPr>
          <w:rFonts w:hint="eastAsia" w:asciiTheme="minorEastAsia" w:hAnsiTheme="minorEastAsia"/>
          <w:sz w:val="26"/>
          <w:szCs w:val="26"/>
        </w:rPr>
        <w:t>本报</w:t>
      </w:r>
      <w:r>
        <w:rPr>
          <w:rFonts w:hint="eastAsia" w:asciiTheme="minorEastAsia" w:hAnsiTheme="minorEastAsia"/>
          <w:sz w:val="26"/>
          <w:szCs w:val="26"/>
          <w:lang w:val="en-US" w:eastAsia="zh-CN"/>
        </w:rPr>
        <w:t>告</w:t>
      </w:r>
      <w:r>
        <w:rPr>
          <w:rFonts w:hint="eastAsia" w:asciiTheme="minorEastAsia" w:hAnsiTheme="minorEastAsia"/>
          <w:sz w:val="26"/>
          <w:szCs w:val="26"/>
        </w:rPr>
        <w:t>是评估机构根据对项目主管单位所提供的材料并结合与项目相关单位沟通所了解的情况，在综合分析的基础上形成的。本报告的结论与意见是参考性的，仅供财政部门批复预算时使用，不做其他用途。</w:t>
      </w:r>
    </w:p>
    <w:p w14:paraId="657AA77E">
      <w:pPr>
        <w:spacing w:before="156" w:beforeLines="50" w:after="156" w:afterLines="50" w:line="360" w:lineRule="auto"/>
        <w:ind w:firstLine="3380" w:firstLineChars="1300"/>
        <w:jc w:val="center"/>
        <w:rPr>
          <w:rFonts w:asciiTheme="minorEastAsia" w:hAnsiTheme="minorEastAsia"/>
          <w:sz w:val="26"/>
          <w:szCs w:val="26"/>
        </w:rPr>
      </w:pPr>
      <w:r>
        <w:rPr>
          <w:rFonts w:hint="eastAsia" w:asciiTheme="minorEastAsia" w:hAnsiTheme="minorEastAsia"/>
          <w:sz w:val="26"/>
          <w:szCs w:val="26"/>
        </w:rPr>
        <w:t>立信中联会计师事务所（特殊普通合伙）</w:t>
      </w:r>
    </w:p>
    <w:p w14:paraId="2D786F88">
      <w:pPr>
        <w:spacing w:before="156" w:beforeLines="50" w:after="156" w:afterLines="50" w:line="360" w:lineRule="auto"/>
        <w:ind w:firstLine="3380" w:firstLineChars="1300"/>
        <w:jc w:val="center"/>
        <w:rPr>
          <w:rFonts w:asciiTheme="minorEastAsia" w:hAnsiTheme="minorEastAsia"/>
          <w:sz w:val="26"/>
          <w:szCs w:val="26"/>
        </w:rPr>
      </w:pPr>
      <w:r>
        <w:rPr>
          <w:rFonts w:hint="eastAsia" w:asciiTheme="minorEastAsia" w:hAnsiTheme="minorEastAsia"/>
          <w:sz w:val="26"/>
          <w:szCs w:val="26"/>
        </w:rPr>
        <w:t>二〇二一年十一月一日</w:t>
      </w:r>
    </w:p>
    <w:sectPr>
      <w:footerReference r:id="rId3" w:type="default"/>
      <w:pgSz w:w="11906" w:h="16838"/>
      <w:pgMar w:top="1440" w:right="1800" w:bottom="1440" w:left="1800" w:header="851" w:footer="992" w:gutter="0"/>
      <w:pgNumType w:start="1" w:chapStyle="2"/>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2529447"/>
      <w:docPartObj>
        <w:docPartGallery w:val="autotext"/>
      </w:docPartObj>
    </w:sdtPr>
    <w:sdtContent>
      <w:p w14:paraId="2A32E1F3">
        <w:pPr>
          <w:pStyle w:val="6"/>
          <w:jc w:val="center"/>
        </w:pPr>
        <w:r>
          <w:fldChar w:fldCharType="begin"/>
        </w:r>
        <w:r>
          <w:instrText xml:space="preserve">PAGE   \* MERGEFORMAT</w:instrText>
        </w:r>
        <w:r>
          <w:fldChar w:fldCharType="separate"/>
        </w:r>
        <w:r>
          <w:rPr>
            <w:lang w:val="zh-CN"/>
          </w:rPr>
          <w:t>2</w:t>
        </w:r>
        <w:r>
          <w:fldChar w:fldCharType="end"/>
        </w:r>
      </w:p>
    </w:sdtContent>
  </w:sdt>
  <w:p w14:paraId="7D12E59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52C"/>
    <w:rsid w:val="0000055D"/>
    <w:rsid w:val="000016AB"/>
    <w:rsid w:val="00030722"/>
    <w:rsid w:val="000331E5"/>
    <w:rsid w:val="000334AD"/>
    <w:rsid w:val="00040F4F"/>
    <w:rsid w:val="00066762"/>
    <w:rsid w:val="00084F99"/>
    <w:rsid w:val="000978B1"/>
    <w:rsid w:val="000A000D"/>
    <w:rsid w:val="000A566D"/>
    <w:rsid w:val="000B0E65"/>
    <w:rsid w:val="000B1932"/>
    <w:rsid w:val="000C18E9"/>
    <w:rsid w:val="000C37EE"/>
    <w:rsid w:val="000C713D"/>
    <w:rsid w:val="000D292D"/>
    <w:rsid w:val="000D4D63"/>
    <w:rsid w:val="000E1B1F"/>
    <w:rsid w:val="000E3347"/>
    <w:rsid w:val="000F209A"/>
    <w:rsid w:val="000F24D8"/>
    <w:rsid w:val="000F2BE5"/>
    <w:rsid w:val="000F5431"/>
    <w:rsid w:val="000F5F5A"/>
    <w:rsid w:val="0010254C"/>
    <w:rsid w:val="00104B73"/>
    <w:rsid w:val="001070DD"/>
    <w:rsid w:val="001105C4"/>
    <w:rsid w:val="00114B33"/>
    <w:rsid w:val="00127B86"/>
    <w:rsid w:val="00145595"/>
    <w:rsid w:val="001466BD"/>
    <w:rsid w:val="001565EA"/>
    <w:rsid w:val="00161FFD"/>
    <w:rsid w:val="001679DF"/>
    <w:rsid w:val="001810CF"/>
    <w:rsid w:val="0019322C"/>
    <w:rsid w:val="00194573"/>
    <w:rsid w:val="001A32E1"/>
    <w:rsid w:val="001A3839"/>
    <w:rsid w:val="001A4906"/>
    <w:rsid w:val="001B024A"/>
    <w:rsid w:val="001B1EC2"/>
    <w:rsid w:val="001B281C"/>
    <w:rsid w:val="001C1FE3"/>
    <w:rsid w:val="001C5ACC"/>
    <w:rsid w:val="001C5E72"/>
    <w:rsid w:val="001D09C0"/>
    <w:rsid w:val="001E0235"/>
    <w:rsid w:val="001E0F8D"/>
    <w:rsid w:val="001E2FF1"/>
    <w:rsid w:val="001F1B0F"/>
    <w:rsid w:val="001F7447"/>
    <w:rsid w:val="00202A91"/>
    <w:rsid w:val="00206308"/>
    <w:rsid w:val="002071BD"/>
    <w:rsid w:val="00215619"/>
    <w:rsid w:val="00232D91"/>
    <w:rsid w:val="00235C44"/>
    <w:rsid w:val="00240029"/>
    <w:rsid w:val="002463A3"/>
    <w:rsid w:val="002515C9"/>
    <w:rsid w:val="00251A63"/>
    <w:rsid w:val="002547E2"/>
    <w:rsid w:val="002610C2"/>
    <w:rsid w:val="002675F2"/>
    <w:rsid w:val="00267D55"/>
    <w:rsid w:val="00270042"/>
    <w:rsid w:val="00272709"/>
    <w:rsid w:val="00280D44"/>
    <w:rsid w:val="00283EC4"/>
    <w:rsid w:val="0028441F"/>
    <w:rsid w:val="002A02C8"/>
    <w:rsid w:val="002A0439"/>
    <w:rsid w:val="002A638C"/>
    <w:rsid w:val="002B5427"/>
    <w:rsid w:val="002C7BB4"/>
    <w:rsid w:val="002D14B7"/>
    <w:rsid w:val="002D2780"/>
    <w:rsid w:val="002D43C6"/>
    <w:rsid w:val="002E1BD9"/>
    <w:rsid w:val="002E3985"/>
    <w:rsid w:val="002F1978"/>
    <w:rsid w:val="002F5FB0"/>
    <w:rsid w:val="00305275"/>
    <w:rsid w:val="003101B0"/>
    <w:rsid w:val="00314A89"/>
    <w:rsid w:val="00326F95"/>
    <w:rsid w:val="00331CCD"/>
    <w:rsid w:val="00336F07"/>
    <w:rsid w:val="003668F1"/>
    <w:rsid w:val="00383004"/>
    <w:rsid w:val="0038372B"/>
    <w:rsid w:val="00393AF8"/>
    <w:rsid w:val="003A682C"/>
    <w:rsid w:val="003A79A1"/>
    <w:rsid w:val="003B3CAF"/>
    <w:rsid w:val="003B6034"/>
    <w:rsid w:val="003B7467"/>
    <w:rsid w:val="003C31B1"/>
    <w:rsid w:val="003C5902"/>
    <w:rsid w:val="003C640E"/>
    <w:rsid w:val="003D351A"/>
    <w:rsid w:val="003E1449"/>
    <w:rsid w:val="003E4CF5"/>
    <w:rsid w:val="00406076"/>
    <w:rsid w:val="004249C3"/>
    <w:rsid w:val="0043247C"/>
    <w:rsid w:val="00437AC1"/>
    <w:rsid w:val="0044345E"/>
    <w:rsid w:val="00446BB6"/>
    <w:rsid w:val="00447773"/>
    <w:rsid w:val="004535C2"/>
    <w:rsid w:val="00473232"/>
    <w:rsid w:val="00495881"/>
    <w:rsid w:val="00497860"/>
    <w:rsid w:val="00497D26"/>
    <w:rsid w:val="004C3C6E"/>
    <w:rsid w:val="004E08CE"/>
    <w:rsid w:val="004E764E"/>
    <w:rsid w:val="004F4527"/>
    <w:rsid w:val="00521F00"/>
    <w:rsid w:val="00526937"/>
    <w:rsid w:val="00543F57"/>
    <w:rsid w:val="0055140F"/>
    <w:rsid w:val="0056694F"/>
    <w:rsid w:val="005705B4"/>
    <w:rsid w:val="00571028"/>
    <w:rsid w:val="005718EE"/>
    <w:rsid w:val="00575B59"/>
    <w:rsid w:val="00580F56"/>
    <w:rsid w:val="005850D0"/>
    <w:rsid w:val="0059437A"/>
    <w:rsid w:val="005A33C8"/>
    <w:rsid w:val="005A5B2F"/>
    <w:rsid w:val="005A691A"/>
    <w:rsid w:val="005B26A7"/>
    <w:rsid w:val="005B27FD"/>
    <w:rsid w:val="005D256C"/>
    <w:rsid w:val="005D4BC7"/>
    <w:rsid w:val="005E10CE"/>
    <w:rsid w:val="005E31D0"/>
    <w:rsid w:val="005E58B8"/>
    <w:rsid w:val="005E6E43"/>
    <w:rsid w:val="005F072B"/>
    <w:rsid w:val="005F7185"/>
    <w:rsid w:val="00607A91"/>
    <w:rsid w:val="0061500C"/>
    <w:rsid w:val="00632E68"/>
    <w:rsid w:val="006372E0"/>
    <w:rsid w:val="006377EE"/>
    <w:rsid w:val="00640B94"/>
    <w:rsid w:val="006425C3"/>
    <w:rsid w:val="00651429"/>
    <w:rsid w:val="006632DA"/>
    <w:rsid w:val="00671DC9"/>
    <w:rsid w:val="006804D9"/>
    <w:rsid w:val="00687B2D"/>
    <w:rsid w:val="006A3CF5"/>
    <w:rsid w:val="006A6D86"/>
    <w:rsid w:val="006A701C"/>
    <w:rsid w:val="006B0CE6"/>
    <w:rsid w:val="006B2B1D"/>
    <w:rsid w:val="006B54C0"/>
    <w:rsid w:val="006D0189"/>
    <w:rsid w:val="006D1644"/>
    <w:rsid w:val="006D47EC"/>
    <w:rsid w:val="006E1362"/>
    <w:rsid w:val="006E3117"/>
    <w:rsid w:val="006E3999"/>
    <w:rsid w:val="006E6AEC"/>
    <w:rsid w:val="0070331D"/>
    <w:rsid w:val="00703BB1"/>
    <w:rsid w:val="0070414C"/>
    <w:rsid w:val="00710083"/>
    <w:rsid w:val="00722EB2"/>
    <w:rsid w:val="00725F83"/>
    <w:rsid w:val="00731451"/>
    <w:rsid w:val="00732BE0"/>
    <w:rsid w:val="00733669"/>
    <w:rsid w:val="00741578"/>
    <w:rsid w:val="007443D9"/>
    <w:rsid w:val="0075348E"/>
    <w:rsid w:val="00755B29"/>
    <w:rsid w:val="007604E7"/>
    <w:rsid w:val="007704D8"/>
    <w:rsid w:val="00771C85"/>
    <w:rsid w:val="00784262"/>
    <w:rsid w:val="00792A97"/>
    <w:rsid w:val="007A4C03"/>
    <w:rsid w:val="007B0B0F"/>
    <w:rsid w:val="007B2A05"/>
    <w:rsid w:val="007B3042"/>
    <w:rsid w:val="007B58A7"/>
    <w:rsid w:val="007D37BD"/>
    <w:rsid w:val="007D3970"/>
    <w:rsid w:val="007D60DE"/>
    <w:rsid w:val="007E036F"/>
    <w:rsid w:val="007E556D"/>
    <w:rsid w:val="007F0024"/>
    <w:rsid w:val="007F0F21"/>
    <w:rsid w:val="007F1878"/>
    <w:rsid w:val="007F6EC2"/>
    <w:rsid w:val="00801E9E"/>
    <w:rsid w:val="00806356"/>
    <w:rsid w:val="00812553"/>
    <w:rsid w:val="00813A1D"/>
    <w:rsid w:val="00822F5A"/>
    <w:rsid w:val="0082562C"/>
    <w:rsid w:val="00827EDD"/>
    <w:rsid w:val="00852C16"/>
    <w:rsid w:val="00854094"/>
    <w:rsid w:val="00863EF5"/>
    <w:rsid w:val="00867C8D"/>
    <w:rsid w:val="008905CF"/>
    <w:rsid w:val="00893EAC"/>
    <w:rsid w:val="0089764C"/>
    <w:rsid w:val="008A3858"/>
    <w:rsid w:val="008A3CBB"/>
    <w:rsid w:val="008B257D"/>
    <w:rsid w:val="008C5327"/>
    <w:rsid w:val="008C6748"/>
    <w:rsid w:val="008C7930"/>
    <w:rsid w:val="008D1A90"/>
    <w:rsid w:val="008D3731"/>
    <w:rsid w:val="008D5B03"/>
    <w:rsid w:val="008E10C5"/>
    <w:rsid w:val="008E7915"/>
    <w:rsid w:val="0090513F"/>
    <w:rsid w:val="00907B08"/>
    <w:rsid w:val="00907E14"/>
    <w:rsid w:val="009143C0"/>
    <w:rsid w:val="00916F0F"/>
    <w:rsid w:val="00930099"/>
    <w:rsid w:val="00942BCF"/>
    <w:rsid w:val="009510FD"/>
    <w:rsid w:val="009517A4"/>
    <w:rsid w:val="009615A0"/>
    <w:rsid w:val="00971006"/>
    <w:rsid w:val="009804A1"/>
    <w:rsid w:val="00981246"/>
    <w:rsid w:val="00987598"/>
    <w:rsid w:val="0099029A"/>
    <w:rsid w:val="0099152C"/>
    <w:rsid w:val="0099378E"/>
    <w:rsid w:val="009A39B0"/>
    <w:rsid w:val="009B5CFD"/>
    <w:rsid w:val="009D4B78"/>
    <w:rsid w:val="009D743A"/>
    <w:rsid w:val="009D74A6"/>
    <w:rsid w:val="009E174A"/>
    <w:rsid w:val="009E74D2"/>
    <w:rsid w:val="009E74F2"/>
    <w:rsid w:val="009F030C"/>
    <w:rsid w:val="009F20FF"/>
    <w:rsid w:val="00A01EBC"/>
    <w:rsid w:val="00A066FB"/>
    <w:rsid w:val="00A14BB8"/>
    <w:rsid w:val="00A24894"/>
    <w:rsid w:val="00A35A99"/>
    <w:rsid w:val="00A425AF"/>
    <w:rsid w:val="00A429C7"/>
    <w:rsid w:val="00A538FF"/>
    <w:rsid w:val="00A54D24"/>
    <w:rsid w:val="00A56D97"/>
    <w:rsid w:val="00A61EBF"/>
    <w:rsid w:val="00A65494"/>
    <w:rsid w:val="00A753E2"/>
    <w:rsid w:val="00A77B67"/>
    <w:rsid w:val="00A80AAA"/>
    <w:rsid w:val="00A840B6"/>
    <w:rsid w:val="00A92E0E"/>
    <w:rsid w:val="00A9690F"/>
    <w:rsid w:val="00AA40A7"/>
    <w:rsid w:val="00AA5B2D"/>
    <w:rsid w:val="00AC30E1"/>
    <w:rsid w:val="00AC4DD7"/>
    <w:rsid w:val="00AD0EFA"/>
    <w:rsid w:val="00AD5B69"/>
    <w:rsid w:val="00AD72DC"/>
    <w:rsid w:val="00AE3D6E"/>
    <w:rsid w:val="00AF5D18"/>
    <w:rsid w:val="00AF63E3"/>
    <w:rsid w:val="00B009B7"/>
    <w:rsid w:val="00B03E16"/>
    <w:rsid w:val="00B20880"/>
    <w:rsid w:val="00B215AB"/>
    <w:rsid w:val="00B222EB"/>
    <w:rsid w:val="00B22F6C"/>
    <w:rsid w:val="00B32285"/>
    <w:rsid w:val="00B33AF6"/>
    <w:rsid w:val="00B42B5C"/>
    <w:rsid w:val="00B4368E"/>
    <w:rsid w:val="00B5204A"/>
    <w:rsid w:val="00B52F0A"/>
    <w:rsid w:val="00B53829"/>
    <w:rsid w:val="00B54CFF"/>
    <w:rsid w:val="00B62133"/>
    <w:rsid w:val="00B71785"/>
    <w:rsid w:val="00B719F1"/>
    <w:rsid w:val="00B72552"/>
    <w:rsid w:val="00B81BAF"/>
    <w:rsid w:val="00B8779A"/>
    <w:rsid w:val="00BB556C"/>
    <w:rsid w:val="00BB5EA3"/>
    <w:rsid w:val="00BC0AD7"/>
    <w:rsid w:val="00BC5C7C"/>
    <w:rsid w:val="00BD590D"/>
    <w:rsid w:val="00BE22C7"/>
    <w:rsid w:val="00BE34C9"/>
    <w:rsid w:val="00BF5B78"/>
    <w:rsid w:val="00BF7472"/>
    <w:rsid w:val="00BF7E2B"/>
    <w:rsid w:val="00C22E16"/>
    <w:rsid w:val="00C3538B"/>
    <w:rsid w:val="00C37E63"/>
    <w:rsid w:val="00C45409"/>
    <w:rsid w:val="00C45FE8"/>
    <w:rsid w:val="00C556EB"/>
    <w:rsid w:val="00C66116"/>
    <w:rsid w:val="00C8166B"/>
    <w:rsid w:val="00C95CF8"/>
    <w:rsid w:val="00CA0A93"/>
    <w:rsid w:val="00CA6094"/>
    <w:rsid w:val="00CA7567"/>
    <w:rsid w:val="00CB0415"/>
    <w:rsid w:val="00CB4F5D"/>
    <w:rsid w:val="00CB65A6"/>
    <w:rsid w:val="00CC447E"/>
    <w:rsid w:val="00CC4CBD"/>
    <w:rsid w:val="00CC569D"/>
    <w:rsid w:val="00CD2D8C"/>
    <w:rsid w:val="00CD5E38"/>
    <w:rsid w:val="00D0165B"/>
    <w:rsid w:val="00D06446"/>
    <w:rsid w:val="00D1589D"/>
    <w:rsid w:val="00D42953"/>
    <w:rsid w:val="00D5053F"/>
    <w:rsid w:val="00D56D79"/>
    <w:rsid w:val="00D753F5"/>
    <w:rsid w:val="00D80A8B"/>
    <w:rsid w:val="00D8234C"/>
    <w:rsid w:val="00D86F68"/>
    <w:rsid w:val="00DA27D6"/>
    <w:rsid w:val="00DA76AF"/>
    <w:rsid w:val="00DB5251"/>
    <w:rsid w:val="00DC6EF9"/>
    <w:rsid w:val="00DD3BEF"/>
    <w:rsid w:val="00DD3ECA"/>
    <w:rsid w:val="00DD55CC"/>
    <w:rsid w:val="00DE062A"/>
    <w:rsid w:val="00DF0851"/>
    <w:rsid w:val="00DF2B64"/>
    <w:rsid w:val="00DF3A5D"/>
    <w:rsid w:val="00E1521F"/>
    <w:rsid w:val="00E25E3D"/>
    <w:rsid w:val="00E2687E"/>
    <w:rsid w:val="00E33AF0"/>
    <w:rsid w:val="00E4192A"/>
    <w:rsid w:val="00E54501"/>
    <w:rsid w:val="00E61C36"/>
    <w:rsid w:val="00E75BC2"/>
    <w:rsid w:val="00E85312"/>
    <w:rsid w:val="00E95409"/>
    <w:rsid w:val="00EB3C75"/>
    <w:rsid w:val="00EC0361"/>
    <w:rsid w:val="00EC53F5"/>
    <w:rsid w:val="00ED5DBD"/>
    <w:rsid w:val="00ED71A1"/>
    <w:rsid w:val="00EE4627"/>
    <w:rsid w:val="00F00B10"/>
    <w:rsid w:val="00F15CFC"/>
    <w:rsid w:val="00F26D2A"/>
    <w:rsid w:val="00F27716"/>
    <w:rsid w:val="00F4529A"/>
    <w:rsid w:val="00F47402"/>
    <w:rsid w:val="00F7030A"/>
    <w:rsid w:val="00F7491F"/>
    <w:rsid w:val="00F80A69"/>
    <w:rsid w:val="00F81F06"/>
    <w:rsid w:val="00F93A44"/>
    <w:rsid w:val="00F945DC"/>
    <w:rsid w:val="00F94F2D"/>
    <w:rsid w:val="00FA082D"/>
    <w:rsid w:val="00FA3953"/>
    <w:rsid w:val="00FA46C0"/>
    <w:rsid w:val="00FB216A"/>
    <w:rsid w:val="00FC0453"/>
    <w:rsid w:val="00FC155A"/>
    <w:rsid w:val="00FD09CD"/>
    <w:rsid w:val="00FD2F01"/>
    <w:rsid w:val="00FD4AB5"/>
    <w:rsid w:val="00FE24E2"/>
    <w:rsid w:val="00FF6A73"/>
    <w:rsid w:val="108F1F1B"/>
    <w:rsid w:val="15716567"/>
    <w:rsid w:val="7C9B6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9"/>
    <w:qFormat/>
    <w:uiPriority w:val="1"/>
    <w:pPr>
      <w:autoSpaceDE w:val="0"/>
      <w:autoSpaceDN w:val="0"/>
      <w:spacing w:before="160"/>
      <w:ind w:left="417"/>
      <w:jc w:val="left"/>
    </w:pPr>
    <w:rPr>
      <w:rFonts w:ascii="宋体" w:hAnsi="宋体" w:eastAsia="宋体" w:cs="宋体"/>
      <w:kern w:val="0"/>
      <w:sz w:val="24"/>
      <w:szCs w:val="24"/>
      <w:lang w:val="zh-CN" w:bidi="zh-CN"/>
    </w:rPr>
  </w:style>
  <w:style w:type="paragraph" w:styleId="4">
    <w:name w:val="toc 3"/>
    <w:basedOn w:val="1"/>
    <w:next w:val="1"/>
    <w:autoRedefine/>
    <w:semiHidden/>
    <w:unhideWhenUsed/>
    <w:qFormat/>
    <w:uiPriority w:val="39"/>
    <w:pPr>
      <w:widowControl/>
      <w:spacing w:after="100" w:line="276" w:lineRule="auto"/>
      <w:ind w:left="440"/>
      <w:jc w:val="left"/>
    </w:pPr>
    <w:rPr>
      <w:kern w:val="0"/>
      <w:sz w:val="22"/>
    </w:rPr>
  </w:style>
  <w:style w:type="paragraph" w:styleId="5">
    <w:name w:val="Balloon Text"/>
    <w:basedOn w:val="1"/>
    <w:link w:val="2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semiHidden/>
    <w:unhideWhenUsed/>
    <w:qFormat/>
    <w:uiPriority w:val="39"/>
    <w:pPr>
      <w:widowControl/>
      <w:spacing w:after="100" w:line="276" w:lineRule="auto"/>
      <w:jc w:val="left"/>
    </w:pPr>
    <w:rPr>
      <w:kern w:val="0"/>
      <w:sz w:val="22"/>
    </w:rPr>
  </w:style>
  <w:style w:type="paragraph" w:styleId="9">
    <w:name w:val="toc 2"/>
    <w:basedOn w:val="1"/>
    <w:next w:val="1"/>
    <w:autoRedefine/>
    <w:semiHidden/>
    <w:unhideWhenUsed/>
    <w:qFormat/>
    <w:uiPriority w:val="39"/>
    <w:pPr>
      <w:widowControl/>
      <w:spacing w:after="100" w:line="276" w:lineRule="auto"/>
      <w:ind w:left="220"/>
      <w:jc w:val="left"/>
    </w:pPr>
    <w:rPr>
      <w:kern w:val="0"/>
      <w:sz w:val="22"/>
    </w:rPr>
  </w:style>
  <w:style w:type="character" w:customStyle="1" w:styleId="12">
    <w:name w:val="页眉 Char"/>
    <w:basedOn w:val="11"/>
    <w:link w:val="7"/>
    <w:qFormat/>
    <w:uiPriority w:val="99"/>
    <w:rPr>
      <w:sz w:val="18"/>
      <w:szCs w:val="18"/>
    </w:rPr>
  </w:style>
  <w:style w:type="character" w:customStyle="1" w:styleId="13">
    <w:name w:val="页脚 Char"/>
    <w:basedOn w:val="11"/>
    <w:link w:val="6"/>
    <w:qFormat/>
    <w:uiPriority w:val="99"/>
    <w:rPr>
      <w:sz w:val="18"/>
      <w:szCs w:val="18"/>
    </w:rPr>
  </w:style>
  <w:style w:type="character" w:customStyle="1" w:styleId="14">
    <w:name w:val="Body text|4_"/>
    <w:basedOn w:val="11"/>
    <w:link w:val="15"/>
    <w:qFormat/>
    <w:uiPriority w:val="0"/>
    <w:rPr>
      <w:rFonts w:ascii="宋体" w:hAnsi="宋体" w:eastAsia="宋体" w:cs="宋体"/>
      <w:sz w:val="42"/>
      <w:szCs w:val="42"/>
      <w:lang w:val="zh-TW" w:eastAsia="zh-TW" w:bidi="zh-TW"/>
    </w:rPr>
  </w:style>
  <w:style w:type="paragraph" w:customStyle="1" w:styleId="15">
    <w:name w:val="Body text|4"/>
    <w:basedOn w:val="1"/>
    <w:link w:val="14"/>
    <w:qFormat/>
    <w:uiPriority w:val="0"/>
    <w:pPr>
      <w:spacing w:after="280"/>
      <w:jc w:val="left"/>
    </w:pPr>
    <w:rPr>
      <w:rFonts w:ascii="宋体" w:hAnsi="宋体" w:eastAsia="宋体" w:cs="宋体"/>
      <w:sz w:val="42"/>
      <w:szCs w:val="42"/>
      <w:lang w:val="zh-TW" w:eastAsia="zh-TW" w:bidi="zh-TW"/>
    </w:rPr>
  </w:style>
  <w:style w:type="character" w:customStyle="1" w:styleId="16">
    <w:name w:val="Heading #1|1_"/>
    <w:basedOn w:val="11"/>
    <w:link w:val="17"/>
    <w:qFormat/>
    <w:uiPriority w:val="0"/>
    <w:rPr>
      <w:rFonts w:ascii="宋体" w:hAnsi="宋体" w:eastAsia="宋体" w:cs="宋体"/>
      <w:sz w:val="52"/>
      <w:szCs w:val="52"/>
      <w:lang w:val="zh-TW" w:eastAsia="zh-TW" w:bidi="zh-TW"/>
    </w:rPr>
  </w:style>
  <w:style w:type="paragraph" w:customStyle="1" w:styleId="17">
    <w:name w:val="Heading #1|1"/>
    <w:basedOn w:val="1"/>
    <w:link w:val="16"/>
    <w:qFormat/>
    <w:uiPriority w:val="0"/>
    <w:pPr>
      <w:spacing w:after="6120"/>
      <w:jc w:val="center"/>
      <w:outlineLvl w:val="0"/>
    </w:pPr>
    <w:rPr>
      <w:rFonts w:ascii="宋体" w:hAnsi="宋体" w:eastAsia="宋体" w:cs="宋体"/>
      <w:sz w:val="52"/>
      <w:szCs w:val="52"/>
      <w:lang w:val="zh-TW" w:eastAsia="zh-TW" w:bidi="zh-TW"/>
    </w:rPr>
  </w:style>
  <w:style w:type="character" w:customStyle="1" w:styleId="18">
    <w:name w:val="Body text|5_"/>
    <w:basedOn w:val="11"/>
    <w:link w:val="19"/>
    <w:qFormat/>
    <w:uiPriority w:val="0"/>
    <w:rPr>
      <w:b/>
      <w:bCs/>
      <w:i/>
      <w:iCs/>
      <w:sz w:val="28"/>
      <w:szCs w:val="28"/>
      <w:lang w:val="zh-TW" w:eastAsia="zh-TW" w:bidi="zh-TW"/>
    </w:rPr>
  </w:style>
  <w:style w:type="paragraph" w:customStyle="1" w:styleId="19">
    <w:name w:val="Body text|5"/>
    <w:basedOn w:val="1"/>
    <w:link w:val="18"/>
    <w:qFormat/>
    <w:uiPriority w:val="0"/>
    <w:pPr>
      <w:spacing w:line="780" w:lineRule="exact"/>
      <w:jc w:val="right"/>
    </w:pPr>
    <w:rPr>
      <w:b/>
      <w:bCs/>
      <w:i/>
      <w:iCs/>
      <w:sz w:val="28"/>
      <w:szCs w:val="28"/>
      <w:lang w:val="zh-TW" w:eastAsia="zh-TW" w:bidi="zh-TW"/>
    </w:rPr>
  </w:style>
  <w:style w:type="character" w:customStyle="1" w:styleId="20">
    <w:name w:val="Body text|1_"/>
    <w:basedOn w:val="11"/>
    <w:link w:val="21"/>
    <w:qFormat/>
    <w:uiPriority w:val="0"/>
    <w:rPr>
      <w:rFonts w:ascii="宋体" w:hAnsi="宋体" w:eastAsia="宋体" w:cs="宋体"/>
      <w:sz w:val="26"/>
      <w:szCs w:val="26"/>
      <w:lang w:val="zh-TW" w:eastAsia="zh-TW" w:bidi="zh-TW"/>
    </w:rPr>
  </w:style>
  <w:style w:type="paragraph" w:customStyle="1" w:styleId="21">
    <w:name w:val="Body text|1"/>
    <w:basedOn w:val="1"/>
    <w:link w:val="20"/>
    <w:qFormat/>
    <w:uiPriority w:val="0"/>
    <w:pPr>
      <w:spacing w:line="442" w:lineRule="auto"/>
      <w:ind w:firstLine="400"/>
      <w:jc w:val="left"/>
    </w:pPr>
    <w:rPr>
      <w:rFonts w:ascii="宋体" w:hAnsi="宋体" w:eastAsia="宋体" w:cs="宋体"/>
      <w:sz w:val="26"/>
      <w:szCs w:val="26"/>
      <w:lang w:val="zh-TW" w:eastAsia="zh-TW" w:bidi="zh-TW"/>
    </w:rPr>
  </w:style>
  <w:style w:type="character" w:customStyle="1" w:styleId="22">
    <w:name w:val="Table of contents|1_"/>
    <w:basedOn w:val="11"/>
    <w:link w:val="23"/>
    <w:qFormat/>
    <w:uiPriority w:val="0"/>
    <w:rPr>
      <w:rFonts w:ascii="宋体" w:hAnsi="宋体" w:eastAsia="宋体" w:cs="宋体"/>
      <w:sz w:val="26"/>
      <w:szCs w:val="26"/>
      <w:lang w:val="zh-TW" w:eastAsia="zh-TW" w:bidi="zh-TW"/>
    </w:rPr>
  </w:style>
  <w:style w:type="paragraph" w:customStyle="1" w:styleId="23">
    <w:name w:val="Table of contents|1"/>
    <w:basedOn w:val="1"/>
    <w:link w:val="22"/>
    <w:qFormat/>
    <w:uiPriority w:val="0"/>
    <w:pPr>
      <w:spacing w:after="320"/>
      <w:ind w:firstLine="540"/>
      <w:jc w:val="left"/>
    </w:pPr>
    <w:rPr>
      <w:rFonts w:ascii="宋体" w:hAnsi="宋体" w:eastAsia="宋体" w:cs="宋体"/>
      <w:sz w:val="26"/>
      <w:szCs w:val="26"/>
      <w:lang w:val="zh-TW" w:eastAsia="zh-TW" w:bidi="zh-TW"/>
    </w:rPr>
  </w:style>
  <w:style w:type="character" w:customStyle="1" w:styleId="24">
    <w:name w:val="批注框文本 Char"/>
    <w:basedOn w:val="11"/>
    <w:link w:val="5"/>
    <w:semiHidden/>
    <w:qFormat/>
    <w:uiPriority w:val="99"/>
    <w:rPr>
      <w:sz w:val="18"/>
      <w:szCs w:val="18"/>
    </w:rPr>
  </w:style>
  <w:style w:type="character" w:customStyle="1" w:styleId="25">
    <w:name w:val="标题 1 Char"/>
    <w:basedOn w:val="11"/>
    <w:link w:val="2"/>
    <w:qFormat/>
    <w:uiPriority w:val="9"/>
    <w:rPr>
      <w:b/>
      <w:bCs/>
      <w:kern w:val="44"/>
      <w:sz w:val="44"/>
      <w:szCs w:val="44"/>
    </w:rPr>
  </w:style>
  <w:style w:type="paragraph" w:customStyle="1" w:styleId="26">
    <w:name w:val="TOC Heading"/>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7">
    <w:name w:val="默认段落字体 Para Char Char Char Char Char Char Char"/>
    <w:basedOn w:val="1"/>
    <w:qFormat/>
    <w:uiPriority w:val="0"/>
    <w:rPr>
      <w:rFonts w:ascii="Tahoma" w:hAnsi="Tahoma" w:eastAsia="宋体" w:cs="Times New Roman"/>
      <w:sz w:val="24"/>
      <w:szCs w:val="20"/>
    </w:rPr>
  </w:style>
  <w:style w:type="paragraph" w:customStyle="1" w:styleId="28">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9">
    <w:name w:val="正文文本 Char"/>
    <w:basedOn w:val="11"/>
    <w:link w:val="3"/>
    <w:qFormat/>
    <w:uiPriority w:val="1"/>
    <w:rPr>
      <w:rFonts w:ascii="宋体" w:hAnsi="宋体" w:eastAsia="宋体" w:cs="宋体"/>
      <w:kern w:val="0"/>
      <w:sz w:val="24"/>
      <w:szCs w:val="24"/>
      <w:lang w:val="zh-CN" w:bidi="zh-CN"/>
    </w:rPr>
  </w:style>
  <w:style w:type="table" w:customStyle="1" w:styleId="30">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 w:type="paragraph" w:customStyle="1" w:styleId="31">
    <w:name w:val="Table Paragraph"/>
    <w:basedOn w:val="1"/>
    <w:qFormat/>
    <w:uiPriority w:val="1"/>
    <w:pPr>
      <w:autoSpaceDE w:val="0"/>
      <w:autoSpaceDN w:val="0"/>
      <w:jc w:val="center"/>
    </w:pPr>
    <w:rPr>
      <w:rFonts w:ascii="Times New Roman" w:hAnsi="Times New Roman" w:eastAsia="Times New Roman" w:cs="Times New Roman"/>
      <w:kern w:val="0"/>
      <w:sz w:val="22"/>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123770-8C48-42B1-9537-652E5AA9856E}">
  <ds:schemaRefs/>
</ds:datastoreItem>
</file>

<file path=docProps/app.xml><?xml version="1.0" encoding="utf-8"?>
<Properties xmlns="http://schemas.openxmlformats.org/officeDocument/2006/extended-properties" xmlns:vt="http://schemas.openxmlformats.org/officeDocument/2006/docPropsVTypes">
  <Template>Normal</Template>
  <Pages>14</Pages>
  <Words>6919</Words>
  <Characters>7222</Characters>
  <Lines>52</Lines>
  <Paragraphs>14</Paragraphs>
  <TotalTime>1640</TotalTime>
  <ScaleCrop>false</ScaleCrop>
  <LinksUpToDate>false</LinksUpToDate>
  <CharactersWithSpaces>7231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2020-04-29T04:44:00Z</dcterms:created>
  <dc:creator>th</dc:creator>
  <cp:lastModifiedBy>Administrator</cp:lastModifiedBy>
  <cp:lastPrinted>2020-09-22T02:08:00Z</cp:lastPrinted>
  <dcterms:modified xsi:type="dcterms:W3CDTF">2025-02-28T08:37:52Z</dcterms:modified>
  <cp:revision>405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eyJoZGlkIjoiMWRlYWNjNWRhZDQ2NDA0ZDU3NTM5ZGRlMDNhY2FlNWQifQ==</vt:lpwstr>
  </property>
  <property fmtid="{D5CDD505-2E9C-101B-9397-08002B2CF9AE}" pid="3" name="KSOProductBuildVer">
    <vt:lpwstr>2052-12.1.0.20305</vt:lpwstr>
  </property>
  <property fmtid="{D5CDD505-2E9C-101B-9397-08002B2CF9AE}" pid="4" name="ICV">
    <vt:lpwstr>E3073F94080D437A9334252737B3B15C_12</vt:lpwstr>
  </property>
</Properties>
</file>