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C8EAC">
      <w:pPr>
        <w:pStyle w:val="15"/>
        <w:rPr>
          <w:rFonts w:ascii="Times New Roman" w:hAnsi="Times New Roman" w:cs="Times New Roman" w:eastAsiaTheme="minorEastAsia"/>
          <w:sz w:val="40"/>
          <w:szCs w:val="40"/>
          <w:lang w:val="zh-CN" w:eastAsia="zh-CN" w:bidi="zh-CN"/>
        </w:rPr>
      </w:pPr>
      <w:r>
        <w:rPr>
          <w:rFonts w:hint="eastAsia" w:ascii="Times New Roman" w:hAnsi="Times New Roman" w:cs="Times New Roman" w:eastAsiaTheme="minorEastAsia"/>
          <w:sz w:val="40"/>
          <w:szCs w:val="40"/>
          <w:lang w:val="zh-CN" w:eastAsia="zh-CN" w:bidi="zh-CN"/>
        </w:rPr>
        <w:t xml:space="preserve">  </w:t>
      </w:r>
    </w:p>
    <w:p w14:paraId="2F5A332E">
      <w:pPr>
        <w:pStyle w:val="15"/>
        <w:rPr>
          <w:rFonts w:ascii="Times New Roman" w:hAnsi="Times New Roman" w:cs="Times New Roman" w:eastAsiaTheme="minorEastAsia"/>
          <w:sz w:val="40"/>
          <w:szCs w:val="40"/>
          <w:lang w:val="zh-CN" w:eastAsia="zh-CN" w:bidi="zh-CN"/>
        </w:rPr>
      </w:pPr>
    </w:p>
    <w:p w14:paraId="326A2542">
      <w:pPr>
        <w:pStyle w:val="15"/>
        <w:rPr>
          <w:rFonts w:ascii="Times New Roman" w:hAnsi="Times New Roman" w:cs="Times New Roman" w:eastAsiaTheme="minorEastAsia"/>
          <w:sz w:val="40"/>
          <w:szCs w:val="40"/>
          <w:lang w:val="zh-CN" w:eastAsia="zh-CN" w:bidi="zh-CN"/>
        </w:rPr>
      </w:pPr>
    </w:p>
    <w:p w14:paraId="2D241BA3">
      <w:pPr>
        <w:pStyle w:val="15"/>
        <w:adjustRightInd w:val="0"/>
        <w:snapToGrid w:val="0"/>
        <w:spacing w:before="156" w:beforeLines="50" w:after="156" w:afterLines="50"/>
        <w:jc w:val="center"/>
        <w:rPr>
          <w:rFonts w:asciiTheme="majorEastAsia" w:hAnsiTheme="majorEastAsia" w:eastAsiaTheme="majorEastAsia"/>
          <w:b/>
          <w:sz w:val="40"/>
        </w:rPr>
      </w:pPr>
      <w:r>
        <w:rPr>
          <w:rFonts w:hint="eastAsia" w:asciiTheme="majorEastAsia" w:hAnsiTheme="majorEastAsia" w:eastAsiaTheme="majorEastAsia"/>
          <w:b/>
          <w:sz w:val="40"/>
          <w:lang w:eastAsia="zh-CN"/>
        </w:rPr>
        <w:t>2022年天津市宁河区</w:t>
      </w:r>
      <w:r>
        <w:rPr>
          <w:rFonts w:hint="eastAsia" w:asciiTheme="majorEastAsia" w:hAnsiTheme="majorEastAsia" w:eastAsiaTheme="majorEastAsia"/>
          <w:b/>
          <w:sz w:val="40"/>
        </w:rPr>
        <w:t>芦台一中迁址新建项目</w:t>
      </w:r>
    </w:p>
    <w:p w14:paraId="5D44FAB4">
      <w:pPr>
        <w:pStyle w:val="15"/>
        <w:adjustRightInd w:val="0"/>
        <w:snapToGrid w:val="0"/>
        <w:spacing w:before="156" w:beforeLines="50" w:after="156" w:afterLines="50"/>
        <w:jc w:val="center"/>
        <w:rPr>
          <w:rFonts w:cs="Times New Roman" w:asciiTheme="majorEastAsia" w:hAnsiTheme="majorEastAsia" w:eastAsiaTheme="majorEastAsia"/>
          <w:b/>
          <w:sz w:val="40"/>
          <w:szCs w:val="40"/>
          <w:lang w:val="zh-CN" w:eastAsia="zh-CN" w:bidi="zh-CN"/>
        </w:rPr>
      </w:pPr>
      <w:r>
        <w:rPr>
          <w:rFonts w:asciiTheme="majorEastAsia" w:hAnsiTheme="majorEastAsia" w:eastAsiaTheme="majorEastAsia"/>
          <w:b/>
          <w:sz w:val="40"/>
        </w:rPr>
        <w:t>事前绩效评估</w:t>
      </w:r>
      <w:r>
        <w:rPr>
          <w:rFonts w:hint="eastAsia" w:asciiTheme="majorEastAsia" w:hAnsiTheme="majorEastAsia" w:eastAsiaTheme="majorEastAsia"/>
          <w:b/>
          <w:sz w:val="40"/>
          <w:lang w:eastAsia="zh-CN"/>
        </w:rPr>
        <w:t>报告</w:t>
      </w:r>
    </w:p>
    <w:p w14:paraId="3A52B7F6">
      <w:pPr>
        <w:jc w:val="center"/>
        <w:rPr>
          <w:sz w:val="40"/>
        </w:rPr>
      </w:pPr>
      <w:r>
        <w:rPr>
          <w:rFonts w:hint="eastAsia"/>
          <w:sz w:val="28"/>
        </w:rPr>
        <w:t>立信中联专审字[2021]A-0221号</w:t>
      </w:r>
    </w:p>
    <w:p w14:paraId="126839C7">
      <w:pPr>
        <w:pStyle w:val="15"/>
        <w:spacing w:before="156" w:beforeLines="50" w:after="156" w:afterLines="50" w:line="360" w:lineRule="auto"/>
        <w:jc w:val="center"/>
        <w:rPr>
          <w:rFonts w:cs="Times New Roman" w:asciiTheme="majorEastAsia" w:hAnsiTheme="majorEastAsia" w:eastAsiaTheme="majorEastAsia"/>
          <w:b/>
          <w:sz w:val="44"/>
          <w:szCs w:val="40"/>
          <w:lang w:val="en-US" w:eastAsia="zh-CN" w:bidi="zh-CN"/>
        </w:rPr>
      </w:pPr>
    </w:p>
    <w:p w14:paraId="437D3FDD">
      <w:pPr>
        <w:pStyle w:val="15"/>
        <w:spacing w:before="156" w:beforeLines="50" w:after="156" w:afterLines="50" w:line="360" w:lineRule="auto"/>
        <w:rPr>
          <w:rFonts w:asciiTheme="majorEastAsia" w:hAnsiTheme="majorEastAsia" w:eastAsiaTheme="majorEastAsia"/>
          <w:b/>
          <w:sz w:val="44"/>
          <w:lang w:eastAsia="zh-CN"/>
        </w:rPr>
      </w:pPr>
    </w:p>
    <w:p w14:paraId="3707E072">
      <w:pPr>
        <w:pStyle w:val="15"/>
        <w:spacing w:before="156" w:beforeLines="50" w:after="156" w:afterLines="50" w:line="360" w:lineRule="auto"/>
        <w:ind w:left="1606" w:hanging="1606" w:hangingChars="500"/>
        <w:rPr>
          <w:rFonts w:asciiTheme="majorEastAsia" w:hAnsiTheme="majorEastAsia" w:eastAsiaTheme="majorEastAsia"/>
          <w:b/>
          <w:sz w:val="32"/>
          <w:szCs w:val="32"/>
        </w:rPr>
      </w:pPr>
      <w:r>
        <w:rPr>
          <w:rFonts w:asciiTheme="majorEastAsia" w:hAnsiTheme="majorEastAsia" w:eastAsiaTheme="majorEastAsia"/>
          <w:b/>
          <w:sz w:val="32"/>
          <w:szCs w:val="32"/>
          <w:lang w:eastAsia="zh-CN"/>
        </w:rPr>
        <w:t>项目名称</w:t>
      </w:r>
      <w:r>
        <w:rPr>
          <w:rFonts w:hint="eastAsia" w:asciiTheme="majorEastAsia" w:hAnsiTheme="majorEastAsia" w:eastAsiaTheme="majorEastAsia"/>
          <w:b/>
          <w:sz w:val="30"/>
          <w:szCs w:val="30"/>
          <w:lang w:eastAsia="zh-CN"/>
        </w:rPr>
        <w:t>：2022年天津市宁河区芦台一中迁址新建项目</w:t>
      </w:r>
    </w:p>
    <w:p w14:paraId="443A431D">
      <w:pPr>
        <w:pStyle w:val="15"/>
        <w:spacing w:before="156" w:beforeLines="50" w:after="156" w:afterLines="50" w:line="360" w:lineRule="auto"/>
        <w:rPr>
          <w:rFonts w:asciiTheme="majorEastAsia" w:hAnsiTheme="majorEastAsia" w:eastAsiaTheme="majorEastAsia"/>
          <w:b/>
          <w:sz w:val="32"/>
          <w:szCs w:val="32"/>
          <w:lang w:eastAsia="zh-CN"/>
        </w:rPr>
      </w:pPr>
      <w:r>
        <w:rPr>
          <w:rFonts w:asciiTheme="majorEastAsia" w:hAnsiTheme="majorEastAsia" w:eastAsiaTheme="majorEastAsia"/>
          <w:b/>
          <w:sz w:val="32"/>
          <w:szCs w:val="32"/>
          <w:lang w:eastAsia="zh-CN"/>
        </w:rPr>
        <w:t>项目单位</w:t>
      </w:r>
      <w:r>
        <w:rPr>
          <w:rFonts w:hint="eastAsia" w:asciiTheme="majorEastAsia" w:hAnsiTheme="majorEastAsia" w:eastAsiaTheme="majorEastAsia"/>
          <w:b/>
          <w:sz w:val="32"/>
          <w:szCs w:val="32"/>
          <w:lang w:eastAsia="zh-CN"/>
        </w:rPr>
        <w:t>：天津市宁河区教育局</w:t>
      </w:r>
    </w:p>
    <w:p w14:paraId="0A2D973D">
      <w:pPr>
        <w:pStyle w:val="15"/>
        <w:spacing w:before="156" w:beforeLines="50" w:after="156" w:afterLines="50" w:line="360" w:lineRule="auto"/>
        <w:rPr>
          <w:rFonts w:asciiTheme="majorEastAsia" w:hAnsiTheme="majorEastAsia" w:eastAsiaTheme="majorEastAsia"/>
          <w:b/>
          <w:sz w:val="32"/>
          <w:szCs w:val="32"/>
          <w:lang w:eastAsia="zh-CN"/>
        </w:rPr>
      </w:pPr>
      <w:r>
        <w:rPr>
          <w:rFonts w:hint="eastAsia" w:asciiTheme="majorEastAsia" w:hAnsiTheme="majorEastAsia" w:eastAsiaTheme="majorEastAsia"/>
          <w:b/>
          <w:sz w:val="32"/>
          <w:szCs w:val="32"/>
          <w:lang w:eastAsia="zh-CN"/>
        </w:rPr>
        <w:t>委托部门：天津市宁河区财政局</w:t>
      </w:r>
    </w:p>
    <w:p w14:paraId="120FC1A0">
      <w:pPr>
        <w:pStyle w:val="15"/>
        <w:spacing w:before="156" w:beforeLines="50" w:after="156" w:afterLines="50" w:line="360" w:lineRule="auto"/>
        <w:rPr>
          <w:rFonts w:asciiTheme="majorEastAsia" w:hAnsiTheme="majorEastAsia" w:eastAsiaTheme="majorEastAsia"/>
          <w:b/>
          <w:sz w:val="44"/>
          <w:lang w:eastAsia="zh-CN"/>
        </w:rPr>
      </w:pPr>
      <w:r>
        <w:rPr>
          <w:rFonts w:hint="eastAsia" w:asciiTheme="majorEastAsia" w:hAnsiTheme="majorEastAsia" w:eastAsiaTheme="majorEastAsia"/>
          <w:b/>
          <w:sz w:val="32"/>
          <w:szCs w:val="32"/>
          <w:lang w:eastAsia="zh-CN"/>
        </w:rPr>
        <w:t>评估机构：立信中联会计师事务所（特殊普通合伙）</w:t>
      </w:r>
      <w:r>
        <w:rPr>
          <w:rFonts w:asciiTheme="majorEastAsia" w:hAnsiTheme="majorEastAsia" w:eastAsiaTheme="majorEastAsia"/>
          <w:b/>
          <w:sz w:val="44"/>
          <w:lang w:eastAsia="zh-CN"/>
        </w:rPr>
        <w:t xml:space="preserve"> </w:t>
      </w:r>
    </w:p>
    <w:p w14:paraId="0183CF07">
      <w:pPr>
        <w:pStyle w:val="15"/>
        <w:spacing w:before="156" w:beforeLines="50" w:after="156" w:afterLines="50" w:line="360" w:lineRule="auto"/>
        <w:rPr>
          <w:rFonts w:asciiTheme="majorEastAsia" w:hAnsiTheme="majorEastAsia" w:eastAsiaTheme="majorEastAsia"/>
          <w:b/>
          <w:sz w:val="44"/>
          <w:lang w:eastAsia="zh-CN"/>
        </w:rPr>
      </w:pPr>
    </w:p>
    <w:p w14:paraId="38A9DFFD">
      <w:pPr>
        <w:pStyle w:val="15"/>
        <w:spacing w:before="156" w:beforeLines="50" w:after="156" w:afterLines="50" w:line="360" w:lineRule="auto"/>
        <w:rPr>
          <w:rFonts w:asciiTheme="majorEastAsia" w:hAnsiTheme="majorEastAsia" w:eastAsiaTheme="majorEastAsia"/>
          <w:b/>
          <w:sz w:val="44"/>
          <w:lang w:eastAsia="zh-CN"/>
        </w:rPr>
      </w:pPr>
    </w:p>
    <w:p w14:paraId="6802B956">
      <w:pPr>
        <w:pStyle w:val="15"/>
        <w:spacing w:before="156" w:beforeLines="50" w:after="156" w:afterLines="50" w:line="360" w:lineRule="auto"/>
        <w:rPr>
          <w:rFonts w:asciiTheme="majorEastAsia" w:hAnsiTheme="majorEastAsia" w:eastAsiaTheme="majorEastAsia"/>
          <w:b/>
          <w:sz w:val="44"/>
          <w:lang w:eastAsia="zh-CN"/>
        </w:rPr>
      </w:pPr>
    </w:p>
    <w:p w14:paraId="4B8D0809">
      <w:pPr>
        <w:pStyle w:val="15"/>
        <w:spacing w:before="156" w:beforeLines="50" w:after="156" w:afterLines="50" w:line="360" w:lineRule="auto"/>
        <w:ind w:firstLine="2564" w:firstLineChars="798"/>
        <w:rPr>
          <w:rFonts w:asciiTheme="majorEastAsia" w:hAnsiTheme="majorEastAsia" w:eastAsiaTheme="majorEastAsia"/>
          <w:b/>
          <w:sz w:val="32"/>
          <w:szCs w:val="32"/>
        </w:rPr>
      </w:pPr>
      <w:r>
        <w:rPr>
          <w:rFonts w:hint="eastAsia" w:asciiTheme="majorEastAsia" w:hAnsiTheme="majorEastAsia" w:eastAsiaTheme="majorEastAsia"/>
          <w:b/>
          <w:sz w:val="32"/>
          <w:szCs w:val="32"/>
          <w:lang w:eastAsia="zh-CN"/>
        </w:rPr>
        <w:t>二〇二一</w:t>
      </w:r>
      <w:r>
        <w:rPr>
          <w:rFonts w:hint="eastAsia" w:asciiTheme="majorEastAsia" w:hAnsiTheme="majorEastAsia" w:eastAsiaTheme="majorEastAsia"/>
          <w:b/>
          <w:sz w:val="32"/>
          <w:szCs w:val="32"/>
        </w:rPr>
        <w:t>年</w:t>
      </w:r>
      <w:r>
        <w:rPr>
          <w:rFonts w:hint="eastAsia" w:asciiTheme="majorEastAsia" w:hAnsiTheme="majorEastAsia" w:eastAsiaTheme="majorEastAsia"/>
          <w:b/>
          <w:sz w:val="32"/>
          <w:szCs w:val="32"/>
          <w:lang w:eastAsia="zh-CN"/>
        </w:rPr>
        <w:t>十一</w:t>
      </w:r>
      <w:r>
        <w:rPr>
          <w:rFonts w:hint="eastAsia" w:asciiTheme="majorEastAsia" w:hAnsiTheme="majorEastAsia" w:eastAsiaTheme="majorEastAsia"/>
          <w:b/>
          <w:sz w:val="32"/>
          <w:szCs w:val="32"/>
        </w:rPr>
        <w:t>月</w:t>
      </w:r>
      <w:r>
        <w:rPr>
          <w:rFonts w:hint="eastAsia" w:asciiTheme="majorEastAsia" w:hAnsiTheme="majorEastAsia" w:eastAsiaTheme="majorEastAsia"/>
          <w:b/>
          <w:sz w:val="32"/>
          <w:szCs w:val="32"/>
          <w:lang w:eastAsia="zh-CN"/>
        </w:rPr>
        <w:t>一</w:t>
      </w:r>
      <w:r>
        <w:rPr>
          <w:rFonts w:hint="eastAsia" w:asciiTheme="majorEastAsia" w:hAnsiTheme="majorEastAsia" w:eastAsiaTheme="majorEastAsia"/>
          <w:b/>
          <w:sz w:val="32"/>
          <w:szCs w:val="32"/>
        </w:rPr>
        <w:t>日</w:t>
      </w:r>
    </w:p>
    <w:p w14:paraId="7C7A1B68">
      <w:pPr>
        <w:jc w:val="center"/>
        <w:rPr>
          <w:lang w:val="zh-TW" w:bidi="zh-TW"/>
        </w:rPr>
      </w:pPr>
    </w:p>
    <w:p w14:paraId="737A5253">
      <w:pPr>
        <w:jc w:val="center"/>
        <w:rPr>
          <w:lang w:val="zh-TW" w:bidi="zh-TW"/>
        </w:rPr>
      </w:pPr>
    </w:p>
    <w:p w14:paraId="65CFB3D9">
      <w:pPr>
        <w:pStyle w:val="21"/>
        <w:tabs>
          <w:tab w:val="left" w:pos="8190"/>
          <w:tab w:val="left" w:pos="8205"/>
        </w:tabs>
        <w:spacing w:line="480" w:lineRule="auto"/>
        <w:ind w:firstLine="0"/>
        <w:rPr>
          <w:rFonts w:asciiTheme="minorHAnsi" w:hAnsiTheme="minorHAnsi" w:eastAsiaTheme="minorEastAsia" w:cstheme="minorBidi"/>
          <w:sz w:val="21"/>
          <w:szCs w:val="22"/>
          <w:lang w:eastAsia="zh-CN"/>
        </w:rPr>
      </w:pPr>
    </w:p>
    <w:p w14:paraId="6C336D89">
      <w:pPr>
        <w:pStyle w:val="21"/>
        <w:tabs>
          <w:tab w:val="left" w:pos="8190"/>
          <w:tab w:val="left" w:pos="8205"/>
        </w:tabs>
        <w:spacing w:line="480" w:lineRule="auto"/>
        <w:ind w:firstLine="522"/>
        <w:rPr>
          <w:rFonts w:asciiTheme="minorEastAsia" w:hAnsiTheme="minorEastAsia" w:eastAsiaTheme="minorEastAsia"/>
          <w:b/>
          <w:sz w:val="28"/>
          <w:lang w:eastAsia="zh-CN"/>
        </w:rPr>
      </w:pPr>
      <w:r>
        <w:rPr>
          <w:rFonts w:hint="eastAsia" w:asciiTheme="minorEastAsia" w:hAnsiTheme="minorEastAsia" w:eastAsiaTheme="minorEastAsia"/>
          <w:b/>
          <w:sz w:val="28"/>
        </w:rPr>
        <w:t>一、</w:t>
      </w:r>
      <w:r>
        <w:rPr>
          <w:rFonts w:hint="eastAsia" w:asciiTheme="minorEastAsia" w:hAnsiTheme="minorEastAsia" w:eastAsiaTheme="minorEastAsia"/>
          <w:b/>
          <w:sz w:val="28"/>
          <w:lang w:eastAsia="zh-CN"/>
        </w:rPr>
        <w:t>项目基本信息</w:t>
      </w:r>
    </w:p>
    <w:p w14:paraId="0BFE1B95">
      <w:pPr>
        <w:pStyle w:val="21"/>
        <w:tabs>
          <w:tab w:val="left" w:pos="8190"/>
          <w:tab w:val="left" w:pos="8205"/>
        </w:tabs>
        <w:spacing w:line="480" w:lineRule="auto"/>
        <w:ind w:firstLine="522"/>
        <w:rPr>
          <w:rFonts w:asciiTheme="minorEastAsia" w:hAnsiTheme="minorEastAsia" w:eastAsiaTheme="minorEastAsia"/>
          <w:b/>
          <w:lang w:eastAsia="zh-CN"/>
        </w:rPr>
      </w:pPr>
      <w:r>
        <w:rPr>
          <w:rFonts w:hint="eastAsia" w:asciiTheme="minorEastAsia" w:hAnsiTheme="minorEastAsia" w:eastAsiaTheme="minorEastAsia"/>
        </w:rPr>
        <w:t>项目名称</w:t>
      </w:r>
      <w:r>
        <w:rPr>
          <w:rFonts w:hint="eastAsia" w:asciiTheme="minorEastAsia" w:hAnsiTheme="minorEastAsia" w:eastAsiaTheme="minorEastAsia"/>
          <w:lang w:eastAsia="zh-CN"/>
        </w:rPr>
        <w:t>:</w:t>
      </w:r>
      <w:r>
        <w:rPr>
          <w:rFonts w:hint="eastAsia"/>
        </w:rPr>
        <w:t xml:space="preserve"> </w:t>
      </w:r>
      <w:r>
        <w:rPr>
          <w:rFonts w:hint="eastAsia" w:asciiTheme="minorEastAsia" w:hAnsiTheme="minorEastAsia" w:eastAsiaTheme="minorEastAsia"/>
          <w:lang w:eastAsia="zh-CN"/>
        </w:rPr>
        <w:t>2022年天津市宁河区芦台一中迁址新建项目</w:t>
      </w:r>
    </w:p>
    <w:p w14:paraId="2E74CB84">
      <w:pPr>
        <w:pStyle w:val="21"/>
        <w:tabs>
          <w:tab w:val="left" w:pos="8190"/>
          <w:tab w:val="left" w:pos="8205"/>
        </w:tabs>
        <w:spacing w:line="480" w:lineRule="auto"/>
        <w:ind w:firstLine="520" w:firstLineChars="200"/>
        <w:rPr>
          <w:rFonts w:asciiTheme="minorEastAsia" w:hAnsiTheme="minorEastAsia" w:eastAsiaTheme="minorEastAsia"/>
        </w:rPr>
      </w:pPr>
      <w:r>
        <w:rPr>
          <w:rFonts w:hint="eastAsia" w:asciiTheme="minorEastAsia" w:hAnsiTheme="minorEastAsia" w:eastAsiaTheme="minorEastAsia"/>
        </w:rPr>
        <w:t>项目单位：天津市宁河区教育局</w:t>
      </w:r>
    </w:p>
    <w:p w14:paraId="51B05D1F">
      <w:pPr>
        <w:pStyle w:val="21"/>
        <w:tabs>
          <w:tab w:val="left" w:pos="8190"/>
          <w:tab w:val="left" w:pos="8205"/>
        </w:tabs>
        <w:spacing w:line="480" w:lineRule="auto"/>
        <w:ind w:firstLine="520" w:firstLineChars="200"/>
        <w:rPr>
          <w:rFonts w:asciiTheme="minorEastAsia" w:hAnsiTheme="minorEastAsia" w:eastAsiaTheme="minorEastAsia"/>
          <w:lang w:eastAsia="zh-CN"/>
        </w:rPr>
      </w:pPr>
      <w:r>
        <w:rPr>
          <w:rFonts w:hint="eastAsia" w:asciiTheme="minorEastAsia" w:hAnsiTheme="minorEastAsia" w:eastAsiaTheme="minorEastAsia"/>
        </w:rPr>
        <w:t>项目属性：</w:t>
      </w:r>
      <w:r>
        <w:rPr>
          <w:rFonts w:hint="eastAsia" w:asciiTheme="minorEastAsia" w:hAnsiTheme="minorEastAsia" w:eastAsiaTheme="minorEastAsia"/>
          <w:lang w:eastAsia="zh-CN"/>
        </w:rPr>
        <w:t>一次性</w:t>
      </w:r>
      <w:r>
        <w:rPr>
          <w:rFonts w:hint="eastAsia" w:asciiTheme="minorEastAsia" w:hAnsiTheme="minorEastAsia" w:eastAsiaTheme="minorEastAsia"/>
        </w:rPr>
        <w:t>项目</w:t>
      </w:r>
    </w:p>
    <w:p w14:paraId="75F143C0">
      <w:pPr>
        <w:pStyle w:val="21"/>
        <w:tabs>
          <w:tab w:val="left" w:pos="8190"/>
          <w:tab w:val="left" w:pos="8205"/>
        </w:tabs>
        <w:spacing w:line="480" w:lineRule="auto"/>
        <w:ind w:firstLine="520" w:firstLineChars="200"/>
        <w:rPr>
          <w:color w:val="000000"/>
          <w:lang w:eastAsia="zh-CN"/>
        </w:rPr>
      </w:pPr>
      <w:r>
        <w:rPr>
          <w:rFonts w:hint="eastAsia" w:asciiTheme="minorEastAsia" w:hAnsiTheme="minorEastAsia" w:eastAsiaTheme="minorEastAsia"/>
        </w:rPr>
        <w:t>项目绩效目标：通过实施芦台一中迁址新建工程，新建1所设计办学规模60个教学班的高中，建筑面积7.99万平方米，计划总投资54744万元，符合工程施工质量验收相关要求，按时投入使用；有效满足优质高中学位资源需求，可满足高中学位供给年限≥10年；确保服务对象满意度均达到90%以上，落实国家和我市中长期教育改革和发展规划纲要的相关要求，进一步改善芦台一中办学条件，推动我区高中教育事业的发展，满足我区优质高中学位资源需求。</w:t>
      </w:r>
    </w:p>
    <w:p w14:paraId="43C1269E">
      <w:pPr>
        <w:pStyle w:val="21"/>
        <w:tabs>
          <w:tab w:val="left" w:pos="8190"/>
          <w:tab w:val="left" w:pos="8205"/>
        </w:tabs>
        <w:spacing w:line="480" w:lineRule="auto"/>
        <w:ind w:firstLine="520" w:firstLineChars="200"/>
        <w:rPr>
          <w:color w:val="000000"/>
          <w:lang w:eastAsia="zh-CN"/>
        </w:rPr>
      </w:pPr>
      <w:r>
        <w:rPr>
          <w:rFonts w:hint="eastAsia" w:asciiTheme="minorEastAsia" w:hAnsiTheme="minorEastAsia" w:eastAsiaTheme="minorEastAsia"/>
        </w:rPr>
        <w:t>申请资金总额</w:t>
      </w:r>
      <w:r>
        <w:rPr>
          <w:rFonts w:hint="eastAsia" w:asciiTheme="minorEastAsia" w:hAnsiTheme="minorEastAsia" w:eastAsiaTheme="minorEastAsia"/>
          <w:lang w:eastAsia="zh-CN"/>
        </w:rPr>
        <w:t>：4466</w:t>
      </w:r>
      <w:r>
        <w:rPr>
          <w:rFonts w:asciiTheme="minorEastAsia" w:hAnsiTheme="minorEastAsia" w:eastAsiaTheme="minorEastAsia"/>
          <w:lang w:eastAsia="zh-CN"/>
        </w:rPr>
        <w:t>万元</w:t>
      </w:r>
    </w:p>
    <w:p w14:paraId="63F35DA1">
      <w:pPr>
        <w:pStyle w:val="21"/>
        <w:tabs>
          <w:tab w:val="left" w:pos="8190"/>
          <w:tab w:val="left" w:pos="8205"/>
        </w:tabs>
        <w:spacing w:line="480" w:lineRule="auto"/>
        <w:ind w:firstLine="520" w:firstLineChars="200"/>
        <w:rPr>
          <w:color w:val="000000"/>
          <w:lang w:eastAsia="zh-CN"/>
        </w:rPr>
      </w:pPr>
      <w:r>
        <w:rPr>
          <w:rFonts w:hint="eastAsia" w:asciiTheme="minorEastAsia" w:hAnsiTheme="minorEastAsia" w:eastAsiaTheme="minorEastAsia"/>
        </w:rPr>
        <w:t>其中申请财政资金</w:t>
      </w:r>
      <w:r>
        <w:rPr>
          <w:rFonts w:hint="eastAsia" w:asciiTheme="minorEastAsia" w:hAnsiTheme="minorEastAsia" w:eastAsiaTheme="minorEastAsia"/>
          <w:lang w:eastAsia="zh-CN"/>
        </w:rPr>
        <w:t>：4466</w:t>
      </w:r>
      <w:r>
        <w:rPr>
          <w:rFonts w:hint="eastAsia" w:asciiTheme="minorEastAsia" w:hAnsiTheme="minorEastAsia" w:eastAsiaTheme="minorEastAsia"/>
        </w:rPr>
        <w:t>万元</w:t>
      </w:r>
    </w:p>
    <w:p w14:paraId="0A5BC85A">
      <w:pPr>
        <w:pStyle w:val="21"/>
        <w:tabs>
          <w:tab w:val="left" w:pos="8190"/>
          <w:tab w:val="left" w:pos="8205"/>
        </w:tabs>
        <w:spacing w:line="480" w:lineRule="auto"/>
        <w:ind w:firstLine="520" w:firstLineChars="200"/>
        <w:rPr>
          <w:rFonts w:asciiTheme="minorEastAsia" w:hAnsiTheme="minorEastAsia" w:eastAsiaTheme="minorEastAsia"/>
          <w:lang w:eastAsia="zh-CN"/>
        </w:rPr>
      </w:pPr>
      <w:r>
        <w:rPr>
          <w:rFonts w:hint="eastAsia" w:asciiTheme="minorEastAsia" w:hAnsiTheme="minorEastAsia" w:eastAsiaTheme="minorEastAsia"/>
          <w:lang w:eastAsia="zh-CN"/>
        </w:rPr>
        <w:t>项目概况：按照天津市教育改革和发展要求，根据《宁河区教育布局调整及发展规划（2013—2020年）》和宁河区2016年教育工作安排要求，为进一步推进区域教育均衡化，实施芦台一中迁址新建工程。</w:t>
      </w:r>
    </w:p>
    <w:p w14:paraId="7E21D685">
      <w:pPr>
        <w:pStyle w:val="21"/>
        <w:tabs>
          <w:tab w:val="left" w:pos="8190"/>
          <w:tab w:val="left" w:pos="8205"/>
        </w:tabs>
        <w:spacing w:line="480" w:lineRule="auto"/>
        <w:ind w:firstLine="520" w:firstLineChars="200"/>
        <w:rPr>
          <w:rFonts w:asciiTheme="minorEastAsia" w:hAnsiTheme="minorEastAsia" w:eastAsiaTheme="minorEastAsia"/>
          <w:lang w:eastAsia="zh-CN"/>
        </w:rPr>
      </w:pPr>
      <w:r>
        <w:rPr>
          <w:rFonts w:hint="eastAsia" w:asciiTheme="minorEastAsia" w:hAnsiTheme="minorEastAsia" w:eastAsiaTheme="minorEastAsia"/>
          <w:lang w:eastAsia="zh-CN"/>
        </w:rPr>
        <w:t>项目主要建设内容包括食堂及后勤服务中心、学生宿舍、篮球场、附属建筑,景观及绿化工程、道路及室外管网等配套工程。</w:t>
      </w:r>
    </w:p>
    <w:p w14:paraId="732FA480">
      <w:pPr>
        <w:pStyle w:val="21"/>
        <w:tabs>
          <w:tab w:val="left" w:pos="8190"/>
          <w:tab w:val="left" w:pos="8205"/>
        </w:tabs>
        <w:spacing w:line="480" w:lineRule="auto"/>
        <w:ind w:firstLine="520" w:firstLineChars="200"/>
        <w:rPr>
          <w:rFonts w:asciiTheme="minorEastAsia" w:hAnsiTheme="minorEastAsia" w:eastAsiaTheme="minorEastAsia"/>
          <w:lang w:eastAsia="zh-CN"/>
        </w:rPr>
      </w:pPr>
      <w:r>
        <w:rPr>
          <w:rFonts w:hint="eastAsia" w:asciiTheme="minorEastAsia" w:hAnsiTheme="minorEastAsia" w:eastAsiaTheme="minorEastAsia"/>
          <w:lang w:eastAsia="zh-CN"/>
        </w:rPr>
        <w:t>项目总占地面积45760.5平方米，总建筑面积30106平方米。</w:t>
      </w:r>
    </w:p>
    <w:p w14:paraId="05C6A9D4">
      <w:pPr>
        <w:pStyle w:val="21"/>
        <w:tabs>
          <w:tab w:val="left" w:pos="8190"/>
          <w:tab w:val="left" w:pos="8205"/>
        </w:tabs>
        <w:spacing w:line="480" w:lineRule="auto"/>
        <w:ind w:firstLine="520" w:firstLineChars="200"/>
        <w:rPr>
          <w:color w:val="000000"/>
          <w:lang w:eastAsia="zh-CN"/>
        </w:rPr>
      </w:pPr>
      <w:r>
        <w:rPr>
          <w:rFonts w:hint="eastAsia" w:asciiTheme="minorEastAsia" w:hAnsiTheme="minorEastAsia" w:eastAsiaTheme="minorEastAsia"/>
          <w:lang w:eastAsia="zh-CN"/>
        </w:rPr>
        <w:t>主要建设内容包括：学生宿舍20970平方米、食堂及后勤服务中心8840平方米、连廊168平方米、值班室20平方米、小宝塔76平方米、杏坛32平方米，以及运动场地、道路、绿地、室外配套工程等。</w:t>
      </w:r>
    </w:p>
    <w:p w14:paraId="316DF013">
      <w:pPr>
        <w:pStyle w:val="21"/>
        <w:tabs>
          <w:tab w:val="left" w:pos="8190"/>
          <w:tab w:val="left" w:pos="8205"/>
        </w:tabs>
        <w:spacing w:line="480" w:lineRule="auto"/>
        <w:ind w:firstLine="427" w:firstLineChars="152"/>
        <w:rPr>
          <w:rFonts w:asciiTheme="minorEastAsia" w:hAnsiTheme="minorEastAsia" w:eastAsiaTheme="minorEastAsia"/>
          <w:b/>
          <w:sz w:val="28"/>
        </w:rPr>
      </w:pPr>
      <w:r>
        <w:rPr>
          <w:rFonts w:hint="eastAsia" w:asciiTheme="minorEastAsia" w:hAnsiTheme="minorEastAsia" w:eastAsiaTheme="minorEastAsia"/>
          <w:b/>
          <w:sz w:val="28"/>
        </w:rPr>
        <w:t>二、评估方式和方法</w:t>
      </w:r>
    </w:p>
    <w:p w14:paraId="619FDC5F">
      <w:pPr>
        <w:pStyle w:val="21"/>
        <w:tabs>
          <w:tab w:val="left" w:pos="8190"/>
          <w:tab w:val="left" w:pos="8205"/>
        </w:tabs>
        <w:spacing w:line="480" w:lineRule="auto"/>
        <w:ind w:firstLine="397" w:firstLineChars="153"/>
        <w:rPr>
          <w:rFonts w:asciiTheme="minorEastAsia" w:hAnsiTheme="minorEastAsia" w:eastAsiaTheme="minorEastAsia"/>
        </w:rPr>
      </w:pPr>
      <w:r>
        <w:rPr>
          <w:rFonts w:hint="eastAsia" w:asciiTheme="minorEastAsia" w:hAnsiTheme="minorEastAsia" w:eastAsiaTheme="minorEastAsia"/>
        </w:rPr>
        <w:t>（一）评估程序</w:t>
      </w:r>
    </w:p>
    <w:p w14:paraId="4CD60FB0">
      <w:pPr>
        <w:pStyle w:val="21"/>
        <w:tabs>
          <w:tab w:val="left" w:pos="8190"/>
          <w:tab w:val="left" w:pos="8205"/>
        </w:tabs>
        <w:spacing w:line="480" w:lineRule="auto"/>
        <w:ind w:firstLine="397" w:firstLineChars="153"/>
        <w:rPr>
          <w:rFonts w:asciiTheme="minorEastAsia" w:hAnsiTheme="minorEastAsia" w:eastAsiaTheme="minorEastAsia"/>
        </w:rPr>
      </w:pPr>
      <w:r>
        <w:rPr>
          <w:rFonts w:hint="eastAsia" w:asciiTheme="minorEastAsia" w:hAnsiTheme="minorEastAsia" w:eastAsiaTheme="minorEastAsia"/>
        </w:rPr>
        <w:t>按照委托</w:t>
      </w:r>
      <w:r>
        <w:rPr>
          <w:rFonts w:hint="eastAsia" w:asciiTheme="minorEastAsia" w:hAnsiTheme="minorEastAsia" w:eastAsiaTheme="minorEastAsia"/>
          <w:lang w:eastAsia="zh-CN"/>
        </w:rPr>
        <w:t>部门</w:t>
      </w:r>
      <w:r>
        <w:rPr>
          <w:rFonts w:hint="eastAsia" w:asciiTheme="minorEastAsia" w:hAnsiTheme="minorEastAsia" w:eastAsiaTheme="minorEastAsia"/>
        </w:rPr>
        <w:t>批准的工作程序，评估工作具体包括准备、实施、总结三个阶段。具体如下：</w:t>
      </w:r>
    </w:p>
    <w:p w14:paraId="4B24B159">
      <w:pPr>
        <w:pStyle w:val="21"/>
        <w:tabs>
          <w:tab w:val="left" w:pos="8190"/>
          <w:tab w:val="left" w:pos="8205"/>
        </w:tabs>
        <w:spacing w:line="480" w:lineRule="auto"/>
        <w:ind w:firstLine="397" w:firstLineChars="153"/>
        <w:rPr>
          <w:rFonts w:asciiTheme="minorEastAsia" w:hAnsiTheme="minorEastAsia" w:eastAsiaTheme="minorEastAsia"/>
        </w:rPr>
      </w:pPr>
      <w:r>
        <w:rPr>
          <w:rFonts w:hint="eastAsia" w:asciiTheme="minorEastAsia" w:hAnsiTheme="minorEastAsia" w:eastAsiaTheme="minorEastAsia"/>
        </w:rPr>
        <w:t>1.准备阶段</w:t>
      </w:r>
    </w:p>
    <w:p w14:paraId="59B47813">
      <w:pPr>
        <w:pStyle w:val="21"/>
        <w:tabs>
          <w:tab w:val="left" w:pos="8190"/>
          <w:tab w:val="left" w:pos="8205"/>
        </w:tabs>
        <w:spacing w:line="480" w:lineRule="auto"/>
        <w:ind w:firstLine="397" w:firstLineChars="153"/>
        <w:rPr>
          <w:rFonts w:asciiTheme="minorEastAsia" w:hAnsiTheme="minorEastAsia" w:eastAsiaTheme="minorEastAsia"/>
          <w:lang w:eastAsia="zh-CN"/>
        </w:rPr>
      </w:pPr>
      <w:r>
        <w:rPr>
          <w:rFonts w:hint="eastAsia" w:asciiTheme="minorEastAsia" w:hAnsiTheme="minorEastAsia" w:eastAsiaTheme="minorEastAsia"/>
        </w:rPr>
        <w:t>组建评估工作组。评估机构组建评估工作组，组织开展事前评估各项工作；评估工作组与项目单位进行沟通，明确评估内容、工作流程、工作时间等具体安排。</w:t>
      </w:r>
    </w:p>
    <w:p w14:paraId="7B6F5B72">
      <w:pPr>
        <w:pStyle w:val="21"/>
        <w:tabs>
          <w:tab w:val="left" w:pos="8190"/>
          <w:tab w:val="left" w:pos="8205"/>
        </w:tabs>
        <w:spacing w:line="480" w:lineRule="auto"/>
        <w:ind w:firstLine="397" w:firstLineChars="153"/>
        <w:rPr>
          <w:rFonts w:asciiTheme="minorEastAsia" w:hAnsiTheme="minorEastAsia" w:eastAsiaTheme="minorEastAsia"/>
        </w:rPr>
      </w:pPr>
      <w:r>
        <w:rPr>
          <w:rFonts w:hint="eastAsia" w:asciiTheme="minorEastAsia" w:hAnsiTheme="minorEastAsia" w:eastAsiaTheme="minorEastAsia"/>
        </w:rPr>
        <w:t>制定工作方案。评估工作组结合事前绩效评估工作要求，拟定《项目前绩效评估工作方案》，包括评估对象、评价内容、评价方法、项目单位资料清单及时间安排等。</w:t>
      </w:r>
    </w:p>
    <w:p w14:paraId="7A142FDA">
      <w:pPr>
        <w:pStyle w:val="21"/>
        <w:tabs>
          <w:tab w:val="left" w:pos="8190"/>
          <w:tab w:val="left" w:pos="8205"/>
        </w:tabs>
        <w:spacing w:line="480" w:lineRule="auto"/>
        <w:ind w:firstLine="397" w:firstLineChars="153"/>
        <w:rPr>
          <w:rFonts w:asciiTheme="minorEastAsia" w:hAnsiTheme="minorEastAsia" w:eastAsiaTheme="minorEastAsia"/>
        </w:rPr>
      </w:pPr>
      <w:r>
        <w:rPr>
          <w:rFonts w:hint="eastAsia" w:asciiTheme="minorEastAsia" w:hAnsiTheme="minorEastAsia" w:eastAsiaTheme="minorEastAsia"/>
        </w:rPr>
        <w:t>2.实施阶段</w:t>
      </w:r>
    </w:p>
    <w:p w14:paraId="737CBFBE">
      <w:pPr>
        <w:pStyle w:val="21"/>
        <w:tabs>
          <w:tab w:val="left" w:pos="8190"/>
          <w:tab w:val="left" w:pos="8205"/>
        </w:tabs>
        <w:spacing w:line="480" w:lineRule="auto"/>
        <w:ind w:firstLine="397" w:firstLineChars="153"/>
        <w:rPr>
          <w:rFonts w:asciiTheme="minorEastAsia" w:hAnsiTheme="minorEastAsia" w:eastAsiaTheme="minorEastAsia"/>
        </w:rPr>
      </w:pPr>
      <w:r>
        <w:rPr>
          <w:rFonts w:hint="eastAsia" w:asciiTheme="minorEastAsia" w:hAnsiTheme="minorEastAsia" w:eastAsiaTheme="minorEastAsia"/>
        </w:rPr>
        <w:t>收集整理资料。评估工作组收集并整理项目单位提供的相关资料，初步了解项目预期绩效情况、绩效目标申报情况及评估材料准备情况，并提请单位补充缺少的资料。</w:t>
      </w:r>
    </w:p>
    <w:p w14:paraId="13D4DE7A">
      <w:pPr>
        <w:pStyle w:val="21"/>
        <w:tabs>
          <w:tab w:val="left" w:pos="8190"/>
          <w:tab w:val="left" w:pos="8205"/>
        </w:tabs>
        <w:spacing w:line="480" w:lineRule="auto"/>
        <w:ind w:firstLine="397" w:firstLineChars="153"/>
        <w:rPr>
          <w:rFonts w:asciiTheme="minorEastAsia" w:hAnsiTheme="minorEastAsia" w:eastAsiaTheme="minorEastAsia"/>
        </w:rPr>
      </w:pPr>
      <w:r>
        <w:rPr>
          <w:rFonts w:hint="eastAsia" w:asciiTheme="minorEastAsia" w:hAnsiTheme="minorEastAsia" w:eastAsiaTheme="minorEastAsia"/>
        </w:rPr>
        <w:t>项目评估辅导。鉴于项目单位资料整理过程中存在较多疑问，评估工作组通过电话沟通、资料分析、网络查询等方式对项目单位进行预期绩效报告撰写辅导，申报资料梳理等针对性辅导工作。</w:t>
      </w:r>
    </w:p>
    <w:p w14:paraId="6867AAEF">
      <w:pPr>
        <w:pStyle w:val="21"/>
        <w:tabs>
          <w:tab w:val="left" w:pos="8190"/>
          <w:tab w:val="left" w:pos="8205"/>
        </w:tabs>
        <w:spacing w:line="480" w:lineRule="auto"/>
        <w:ind w:firstLine="397" w:firstLineChars="153"/>
        <w:rPr>
          <w:rFonts w:asciiTheme="minorEastAsia" w:hAnsiTheme="minorEastAsia" w:eastAsiaTheme="minorEastAsia"/>
        </w:rPr>
      </w:pPr>
      <w:r>
        <w:rPr>
          <w:rFonts w:hint="eastAsia" w:asciiTheme="minorEastAsia" w:hAnsiTheme="minorEastAsia" w:eastAsiaTheme="minorEastAsia"/>
        </w:rPr>
        <w:t>组建评估专家组。评估工作组依据项目内容遴选绩效管理专家、行业专家和财政财务专家，组成事前评估专家组，并对评估专家进行相关培训。</w:t>
      </w:r>
    </w:p>
    <w:p w14:paraId="6C159100">
      <w:pPr>
        <w:pStyle w:val="21"/>
        <w:tabs>
          <w:tab w:val="left" w:pos="8190"/>
          <w:tab w:val="left" w:pos="8205"/>
        </w:tabs>
        <w:spacing w:line="480" w:lineRule="auto"/>
        <w:ind w:firstLine="397" w:firstLineChars="153"/>
        <w:rPr>
          <w:rFonts w:asciiTheme="minorEastAsia" w:hAnsiTheme="minorEastAsia" w:eastAsiaTheme="minorEastAsia"/>
        </w:rPr>
      </w:pPr>
      <w:r>
        <w:rPr>
          <w:rFonts w:hint="eastAsia" w:asciiTheme="minorEastAsia" w:hAnsiTheme="minorEastAsia" w:eastAsiaTheme="minorEastAsia"/>
        </w:rPr>
        <w:t>项目现场调研。评价工作组组织专家对项目进行现场调研。评价工作组及专家通过查阅项目补充资料、听取项目单位汇报、沟通质询等方式深入了解项目情况，对项目立项必要性、绩效目标合理性、实施方案可行性性、项目投入经济性以及资金筹措合规性等5个方面进行评估，出具项目评估意见。</w:t>
      </w:r>
    </w:p>
    <w:p w14:paraId="1268A8B6">
      <w:pPr>
        <w:pStyle w:val="21"/>
        <w:tabs>
          <w:tab w:val="left" w:pos="8190"/>
          <w:tab w:val="left" w:pos="8205"/>
        </w:tabs>
        <w:spacing w:line="480" w:lineRule="auto"/>
        <w:ind w:firstLine="397" w:firstLineChars="153"/>
        <w:rPr>
          <w:rFonts w:asciiTheme="minorEastAsia" w:hAnsiTheme="minorEastAsia" w:eastAsiaTheme="minorEastAsia"/>
        </w:rPr>
      </w:pPr>
      <w:r>
        <w:rPr>
          <w:rFonts w:hint="eastAsia" w:asciiTheme="minorEastAsia" w:hAnsiTheme="minorEastAsia" w:eastAsiaTheme="minorEastAsia"/>
        </w:rPr>
        <w:t>3.总结阶段</w:t>
      </w:r>
    </w:p>
    <w:p w14:paraId="541CFD65">
      <w:pPr>
        <w:pStyle w:val="21"/>
        <w:tabs>
          <w:tab w:val="left" w:pos="8190"/>
          <w:tab w:val="left" w:pos="8205"/>
        </w:tabs>
        <w:spacing w:line="480" w:lineRule="auto"/>
        <w:ind w:firstLine="397" w:firstLineChars="153"/>
        <w:rPr>
          <w:rFonts w:asciiTheme="minorEastAsia" w:hAnsiTheme="minorEastAsia" w:eastAsiaTheme="minorEastAsia"/>
        </w:rPr>
      </w:pPr>
      <w:r>
        <w:rPr>
          <w:rFonts w:hint="eastAsia" w:asciiTheme="minorEastAsia" w:hAnsiTheme="minorEastAsia" w:eastAsiaTheme="minorEastAsia"/>
        </w:rPr>
        <w:t>撰写评估报告。评估工作组汇总、分析专家评估意见，按照规定的文本格式和要求，撰写事前绩效评估报告；同时，整理事前绩效评估资料，归档备查。</w:t>
      </w:r>
    </w:p>
    <w:p w14:paraId="7731FD21">
      <w:pPr>
        <w:pStyle w:val="21"/>
        <w:tabs>
          <w:tab w:val="left" w:pos="8190"/>
          <w:tab w:val="left" w:pos="8205"/>
        </w:tabs>
        <w:spacing w:line="480" w:lineRule="auto"/>
        <w:ind w:firstLine="397" w:firstLineChars="153"/>
        <w:rPr>
          <w:rFonts w:asciiTheme="minorEastAsia" w:hAnsiTheme="minorEastAsia" w:eastAsiaTheme="minorEastAsia"/>
        </w:rPr>
      </w:pPr>
      <w:r>
        <w:rPr>
          <w:rFonts w:hint="eastAsia" w:asciiTheme="minorEastAsia" w:hAnsiTheme="minorEastAsia" w:eastAsiaTheme="minorEastAsia"/>
        </w:rPr>
        <w:t>提交评估报告。评估工作组向</w:t>
      </w:r>
      <w:r>
        <w:rPr>
          <w:rFonts w:hint="eastAsia" w:asciiTheme="minorEastAsia" w:hAnsiTheme="minorEastAsia" w:eastAsiaTheme="minorEastAsia"/>
          <w:lang w:eastAsia="zh-CN"/>
        </w:rPr>
        <w:t>宁河</w:t>
      </w:r>
      <w:r>
        <w:rPr>
          <w:rFonts w:hint="eastAsia" w:asciiTheme="minorEastAsia" w:hAnsiTheme="minorEastAsia" w:eastAsiaTheme="minorEastAsia"/>
        </w:rPr>
        <w:t>区财政局提交事前评估报告征求意见稿，并根据宁河区财政局反馈意见修改后，提交事前评估报告正式稿。</w:t>
      </w:r>
    </w:p>
    <w:p w14:paraId="53C8DB57">
      <w:pPr>
        <w:pStyle w:val="21"/>
        <w:tabs>
          <w:tab w:val="left" w:pos="8190"/>
          <w:tab w:val="left" w:pos="8205"/>
        </w:tabs>
        <w:spacing w:line="480" w:lineRule="auto"/>
        <w:ind w:firstLine="397" w:firstLineChars="153"/>
        <w:rPr>
          <w:rFonts w:asciiTheme="minorEastAsia" w:hAnsiTheme="minorEastAsia" w:eastAsiaTheme="minorEastAsia"/>
        </w:rPr>
      </w:pPr>
      <w:r>
        <w:rPr>
          <w:rFonts w:hint="eastAsia" w:asciiTheme="minorEastAsia" w:hAnsiTheme="minorEastAsia" w:eastAsiaTheme="minorEastAsia"/>
        </w:rPr>
        <w:t>（二）论证思路及方法</w:t>
      </w:r>
    </w:p>
    <w:p w14:paraId="5B93784A">
      <w:pPr>
        <w:pStyle w:val="21"/>
        <w:tabs>
          <w:tab w:val="left" w:pos="8190"/>
          <w:tab w:val="left" w:pos="8205"/>
        </w:tabs>
        <w:spacing w:line="480" w:lineRule="auto"/>
        <w:ind w:firstLine="397" w:firstLineChars="153"/>
        <w:rPr>
          <w:rFonts w:asciiTheme="minorEastAsia" w:hAnsiTheme="minorEastAsia" w:eastAsiaTheme="minorEastAsia"/>
          <w:lang w:eastAsia="zh-CN"/>
        </w:rPr>
      </w:pPr>
      <w:r>
        <w:rPr>
          <w:rFonts w:hint="eastAsia" w:asciiTheme="minorEastAsia" w:hAnsiTheme="minorEastAsia" w:eastAsiaTheme="minorEastAsia"/>
        </w:rPr>
        <w:t>本次事前绩效评估，由评估机构聘请的绩效管理专家、财政财务专家和行业专家组成专家组，通过查阅资料、听取项目情况介绍、质询等方式了解项目情况，主要围绕项目的立项必要性、绩效目标合理性、实施方案可行性、投入经济性、筹资合规性等5个方面对项目进行评估。为预算安排提供有力支撑，切实达到优化公共资源配置、提高政府理财和公共服务水平的目的。</w:t>
      </w:r>
    </w:p>
    <w:p w14:paraId="437A8700">
      <w:pPr>
        <w:spacing w:line="480" w:lineRule="auto"/>
        <w:ind w:firstLine="522" w:firstLineChars="200"/>
        <w:rPr>
          <w:rFonts w:asciiTheme="minorEastAsia" w:hAnsiTheme="minorEastAsia"/>
          <w:b/>
          <w:sz w:val="26"/>
          <w:szCs w:val="26"/>
        </w:rPr>
      </w:pPr>
      <w:r>
        <w:rPr>
          <w:rFonts w:hint="eastAsia" w:asciiTheme="minorEastAsia" w:hAnsiTheme="minorEastAsia"/>
          <w:b/>
          <w:sz w:val="26"/>
          <w:szCs w:val="26"/>
        </w:rPr>
        <w:t>三、评估指标体系</w:t>
      </w:r>
    </w:p>
    <w:p w14:paraId="4E99D5DA">
      <w:pPr>
        <w:spacing w:line="480" w:lineRule="auto"/>
        <w:ind w:firstLine="522" w:firstLineChars="200"/>
        <w:rPr>
          <w:rFonts w:asciiTheme="minorEastAsia" w:hAnsiTheme="minorEastAsia"/>
          <w:b/>
          <w:sz w:val="26"/>
          <w:szCs w:val="26"/>
        </w:rPr>
      </w:pPr>
      <w:r>
        <w:rPr>
          <w:rFonts w:hint="eastAsia" w:asciiTheme="minorEastAsia" w:hAnsiTheme="minorEastAsia"/>
          <w:b/>
          <w:sz w:val="26"/>
          <w:szCs w:val="26"/>
        </w:rPr>
        <w:t>（一）立项必要性</w:t>
      </w:r>
    </w:p>
    <w:p w14:paraId="7EADF7A4">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1、政策相关性</w:t>
      </w:r>
    </w:p>
    <w:p w14:paraId="73023A8C">
      <w:pPr>
        <w:spacing w:line="480" w:lineRule="auto"/>
        <w:ind w:firstLine="520" w:firstLineChars="200"/>
        <w:rPr>
          <w:rFonts w:asciiTheme="minorEastAsia" w:hAnsiTheme="minorEastAsia"/>
          <w:sz w:val="26"/>
          <w:szCs w:val="26"/>
        </w:rPr>
      </w:pPr>
      <w:r>
        <w:rPr>
          <w:rFonts w:asciiTheme="minorEastAsia" w:hAnsiTheme="minorEastAsia"/>
          <w:sz w:val="26"/>
          <w:szCs w:val="26"/>
        </w:rPr>
        <w:t>根据《</w:t>
      </w:r>
      <w:r>
        <w:rPr>
          <w:rFonts w:hint="eastAsia" w:asciiTheme="minorEastAsia" w:hAnsiTheme="minorEastAsia"/>
          <w:sz w:val="26"/>
          <w:szCs w:val="26"/>
        </w:rPr>
        <w:t>国家中长期教育改革和发展规划纲要（2010-2020年）</w:t>
      </w:r>
      <w:r>
        <w:rPr>
          <w:rFonts w:asciiTheme="minorEastAsia" w:hAnsiTheme="minorEastAsia"/>
          <w:sz w:val="26"/>
          <w:szCs w:val="26"/>
        </w:rPr>
        <w:t>》和《</w:t>
      </w:r>
      <w:r>
        <w:rPr>
          <w:rFonts w:hint="eastAsia" w:asciiTheme="minorEastAsia" w:hAnsiTheme="minorEastAsia"/>
          <w:sz w:val="26"/>
          <w:szCs w:val="26"/>
        </w:rPr>
        <w:t>天津市中长期教育改革和发展规划纲要 （2010-2020年）</w:t>
      </w:r>
      <w:r>
        <w:rPr>
          <w:rFonts w:asciiTheme="minorEastAsia" w:hAnsiTheme="minorEastAsia"/>
          <w:sz w:val="26"/>
          <w:szCs w:val="26"/>
        </w:rPr>
        <w:t>》</w:t>
      </w:r>
      <w:r>
        <w:rPr>
          <w:rFonts w:hint="eastAsia" w:asciiTheme="minorEastAsia" w:hAnsiTheme="minorEastAsia"/>
          <w:sz w:val="26"/>
          <w:szCs w:val="26"/>
        </w:rPr>
        <w:t>，提出“办好每一所学校 教好每一个学生”的核心理念，针对基础教育建设发展提出“高质量普及学前教育；高水平均衡发展义务教育；优质特色发展普通高中教育”等任务要求。按照宁河区整体发展规划，结合宁河现代产业园区和新市镇建设，制定实施《宁河区教育布局调整及发展规划（2013—2020年）》，合理调整学校布局，优化教育资源配置，满足人民群众对教育的新期待、新要求，更好地服务宁河经济社会发展。</w:t>
      </w:r>
    </w:p>
    <w:p w14:paraId="378D0352">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2、职能相关性</w:t>
      </w:r>
    </w:p>
    <w:p w14:paraId="37C5415F">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天津市宁河区教育局的职责是贯彻、执行党和国家的教育方针、政策。执行市有关教育工作的法规和规章；研究拟定全区教育发展规划，并组织实施。落实市教育体制改革有关政策；管理全区中等及以下各类教育，落实九年义务教育，扫除青壮年文盲，统筹管理全区社会力量办学工作。负责全区教育基础信息统计、分析和发布工作；落实对少数民族和边远省区的教育援助。负责落实国家语言文字方针、政策和规划，推广普通话；管理本部门教育经费；管理全区教育系统人事、劳资工作。负责教师和教育管理干部的队伍建设。负责全区教育系统专业技术职务评聘和管理工作；指导中等职业技术学校毕业生就业工作。管理全区各级各类学校考试、招生工作等。</w:t>
      </w:r>
    </w:p>
    <w:p w14:paraId="2569B886">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3、需求相关性</w:t>
      </w:r>
    </w:p>
    <w:p w14:paraId="63D8AC71">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项目建设是加快落实相关规划发展要求，加快天津市教育事业发展的需要。根据《国家中长期教育改革和发展规划纲要（2010-2020年）》，结合天津经济社会发展实际，制定了《天津市中长期教育改革和发展规划纲要（2010-2020年）》，提出“把促进公平作为基本的教育政策。依法保障公民享有受教育的权利，着力促进教育机会均等。在保障“有学上”的基础上，努力满足“上好学”的需要，实现学有所教、学有优教，满足人民群众对多样化、高质量教育的需求”。</w:t>
      </w:r>
    </w:p>
    <w:p w14:paraId="0A5C5AFF">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按照宁河区整体发展规划，制定实施《宁河区教育布局调整及发展规划（2013—2020年）》，合理调整学校布局，优化教育资源配置，满足人民群众对教育的新期待、新要求，更好地服务宁河区经济社会发展。本项目为桥北新区教育设施后勤服务配套工程，主要为芦台一中迁址新建校、及桥北新区其他教育设施配套服务。项目建设符合《宁河区教育布局调整及发展规划（2013—2020年）》，符合学校后勤服务逐步实行社会化政策方向。</w:t>
      </w:r>
    </w:p>
    <w:p w14:paraId="141BAA5A">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项目建设是满足社会对高质量基础教育的需要。目前桥北新区无高中教育配套，教育资源不足，无法满足区域适龄学生就学要求。本项目建设完成后，一方面满足区域教育资源、调整配套需求，同时通过社会化资本流入，配备满足学校使用、符合青少年使用需求的生活服务设施，配备现代化的服务设备和一流的服务水平，满足人民群众对优质高中教育的需求。</w:t>
      </w:r>
    </w:p>
    <w:p w14:paraId="0462FDA4">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项目建设是政府与社会资本合作提高服务供给效率的新探索。本项目为桥北新区教育配套工程，可提供师生餐饮、住宿等后勤服务，由天津市宁河区兴宁建设投资集团有限公司投资开发建设，承担设计、融资、建设、运营、维护管理等工作。由使用学校及宁河区教育局负责本项目质量监督。本项目建设是宁河区在教育项目建设中引入政府和社会资本合作模式的新探索，是学校后勤服务社会化改革的新探索，一方面解决财政经费紧张问题，把区财政教育资金使用在提高教学设施和教学质量上，在财政预算方面减轻政府压力；另一方面社会资本介入基础设施和公共服务领域，有利于实现降低成本，提高服务供给效率。</w:t>
      </w:r>
    </w:p>
    <w:p w14:paraId="64A91FDE">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4、财政投入相关性</w:t>
      </w:r>
    </w:p>
    <w:p w14:paraId="473876B1">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百年大计，教育为本”，教育事业是一个国家和民族的根基，我国始终把科教兴国和人才强国作为国家发展的主导战略之一。基础教育作为造就人才和提高国民素质的奠基工程，在教育改革中占有重要地位。按照天津市教育改革和发展要求，宁河区始终把教育摆在优先发展的战略地位，深入实施教育兴区和人才强区战略。本项目为准经营性项目，有经营性收入，可获得使用者付费，但该收入不足以覆盖项目投资、运营成本及合理回报，需要宁河区政府提供可行性缺口补助。项目将采用“可行性缺口补助”付费模式，在项目公司获得使用者付费的同时，政府方向项目公司支付可行性缺口补助。</w:t>
      </w:r>
    </w:p>
    <w:p w14:paraId="5C2E457B">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项目具有公共性，属于公共财政支出的支持范围。</w:t>
      </w:r>
    </w:p>
    <w:p w14:paraId="762C7013">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评估认为，该项目立项必要性充分。该项目与国家、天津市、相关行业宏观政策相关，与预算部门的职能相关，具有现实需求，属于公共财政支出的支持范围。</w:t>
      </w:r>
    </w:p>
    <w:p w14:paraId="21D4746D">
      <w:pPr>
        <w:spacing w:line="480" w:lineRule="auto"/>
        <w:ind w:firstLine="522" w:firstLineChars="200"/>
        <w:rPr>
          <w:rFonts w:asciiTheme="minorEastAsia" w:hAnsiTheme="minorEastAsia"/>
          <w:b/>
          <w:sz w:val="26"/>
          <w:szCs w:val="26"/>
        </w:rPr>
      </w:pPr>
      <w:r>
        <w:rPr>
          <w:rFonts w:hint="eastAsia" w:asciiTheme="minorEastAsia" w:hAnsiTheme="minorEastAsia"/>
          <w:b/>
          <w:sz w:val="26"/>
          <w:szCs w:val="26"/>
        </w:rPr>
        <w:t>（二）投入经济性</w:t>
      </w:r>
    </w:p>
    <w:p w14:paraId="6E83463F">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根据《天津市宁河区芦台一中迁址新建及教育配套工程PPP项目合同》第30.1条约定“本项目的可用性付费和运维绩效服务费在建设期内均不用向乙方支付，进入运营期后原则上每年支付2次，分别为每年的3月份和9月份内进入支付程序。”“甲方按照本合同第27条之规定，在运营期内每年对本项目的运营维护效果进行绩效评价，根据评价结果确定绩效考核系数S及政府支付规模，并及时、足额进行付费。”根据可行性缺口补助表，该项目2022年度政府付费规模为4466万元。</w:t>
      </w:r>
    </w:p>
    <w:p w14:paraId="3D2AD81F">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评估认为，该项目投入经济性合理。</w:t>
      </w:r>
    </w:p>
    <w:p w14:paraId="2FB1F335">
      <w:pPr>
        <w:spacing w:before="156" w:beforeLines="50" w:after="156" w:afterLines="50" w:line="360" w:lineRule="auto"/>
        <w:ind w:firstLine="522" w:firstLineChars="200"/>
        <w:rPr>
          <w:rFonts w:asciiTheme="minorEastAsia" w:hAnsiTheme="minorEastAsia"/>
          <w:b/>
          <w:sz w:val="26"/>
          <w:szCs w:val="26"/>
        </w:rPr>
      </w:pPr>
      <w:r>
        <w:rPr>
          <w:rFonts w:hint="eastAsia" w:asciiTheme="minorEastAsia" w:hAnsiTheme="minorEastAsia"/>
          <w:b/>
          <w:sz w:val="26"/>
          <w:szCs w:val="26"/>
        </w:rPr>
        <w:t>（三）绩效目标合理性</w:t>
      </w:r>
    </w:p>
    <w:p w14:paraId="58CBF8D7">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1、目标明确性</w:t>
      </w:r>
    </w:p>
    <w:p w14:paraId="24163FFA">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目标1：通过实施芦台一中迁址新建工程，新建1所设计办学规模60个教学班的高中，建筑面积7.99万平方米，计划总投资54744万元，符合工程施工质量验收相关要求，按时投入使用。目标2：通过项目实施，有效满足优质高中学位资源需求，可满足高中学位供给年限≥10年。目标3：确保服务对象满意度均达到90%以上，落实国家和我市中长期教育改革和发展规划纲要的相关要求，进一步改善芦台一中办学条件，推动我区高中教育事业的发展，满足我区优质高中学位资源需求。</w:t>
      </w:r>
    </w:p>
    <w:p w14:paraId="04A11491">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评估认为，根据《政府和社会资本合作（PPP）项目绩效管理操作指引》要求，“PPP项目绩效目标包括总体绩效目标和年度绩效目标。”，该项目未设定总体绩效目标和年度绩效目标。</w:t>
      </w:r>
    </w:p>
    <w:p w14:paraId="329EC1BD">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2、目标合理性</w:t>
      </w:r>
    </w:p>
    <w:p w14:paraId="0F7B38F1">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数量指标为建设规模79900平方米，建设数量为1个；</w:t>
      </w:r>
    </w:p>
    <w:p w14:paraId="054441C2">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质量指标为项目竣工验收合格率100%，设计功能实现率≥90%；</w:t>
      </w:r>
    </w:p>
    <w:p w14:paraId="269B588A">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时效指标为项目完工率</w:t>
      </w:r>
      <w:r>
        <w:rPr>
          <w:rFonts w:asciiTheme="minorEastAsia" w:hAnsiTheme="minorEastAsia"/>
          <w:sz w:val="26"/>
          <w:szCs w:val="26"/>
        </w:rPr>
        <w:t>100%，</w:t>
      </w:r>
      <w:r>
        <w:rPr>
          <w:rFonts w:hint="eastAsia" w:asciiTheme="minorEastAsia" w:hAnsiTheme="minorEastAsia"/>
          <w:sz w:val="26"/>
          <w:szCs w:val="26"/>
        </w:rPr>
        <w:t>进度准时率≥95%；</w:t>
      </w:r>
    </w:p>
    <w:p w14:paraId="30A06E4A">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成本指标为单位建设成本≤6852元；</w:t>
      </w:r>
    </w:p>
    <w:p w14:paraId="15B3E3A7">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社会效益指标为满足优质高中学位资源需求；</w:t>
      </w:r>
    </w:p>
    <w:p w14:paraId="31313E2F">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可持续影响指标为至少10年满足高中学位供给；</w:t>
      </w:r>
    </w:p>
    <w:p w14:paraId="492B539C">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服务对象满意度指标为教职工及学生家长满意度≥90%。</w:t>
      </w:r>
    </w:p>
    <w:p w14:paraId="1E336CE7">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产出指标中的数量指标下，三级指标设置为建设数量，指标值设置为1个，指标设置不够细化，可围绕学位个数或班级个数等进行设置。</w:t>
      </w:r>
    </w:p>
    <w:p w14:paraId="35E59C9B">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评估认为，该项目绩效目标明确、合理，但是也存在绩效目标未设定总体绩效目标和年度绩效目标，绩效指标设置不够精准、细化的问题。</w:t>
      </w:r>
    </w:p>
    <w:p w14:paraId="44B5B31C">
      <w:pPr>
        <w:spacing w:before="156" w:beforeLines="50" w:after="156" w:afterLines="50" w:line="480" w:lineRule="auto"/>
        <w:ind w:firstLine="522" w:firstLineChars="200"/>
        <w:rPr>
          <w:rFonts w:asciiTheme="minorEastAsia" w:hAnsiTheme="minorEastAsia"/>
          <w:b/>
          <w:sz w:val="26"/>
          <w:szCs w:val="26"/>
        </w:rPr>
      </w:pPr>
      <w:r>
        <w:rPr>
          <w:rFonts w:hint="eastAsia" w:asciiTheme="minorEastAsia" w:hAnsiTheme="minorEastAsia"/>
          <w:b/>
          <w:sz w:val="26"/>
          <w:szCs w:val="26"/>
        </w:rPr>
        <w:t>（四）实施方案可行性</w:t>
      </w:r>
    </w:p>
    <w:p w14:paraId="09A519FC">
      <w:pPr>
        <w:pStyle w:val="21"/>
        <w:tabs>
          <w:tab w:val="left" w:pos="970"/>
        </w:tabs>
        <w:spacing w:line="480" w:lineRule="auto"/>
        <w:jc w:val="both"/>
        <w:rPr>
          <w:rFonts w:asciiTheme="minorEastAsia" w:hAnsiTheme="minorEastAsia" w:eastAsiaTheme="minorEastAsia" w:cstheme="minorBidi"/>
          <w:lang w:val="en-US" w:eastAsia="zh-CN" w:bidi="ar-SA"/>
        </w:rPr>
      </w:pPr>
      <w:r>
        <w:rPr>
          <w:rFonts w:hint="eastAsia" w:asciiTheme="minorEastAsia" w:hAnsiTheme="minorEastAsia" w:eastAsiaTheme="minorEastAsia" w:cstheme="minorBidi"/>
          <w:lang w:val="en-US" w:eastAsia="zh-CN" w:bidi="ar-SA"/>
        </w:rPr>
        <w:t>1、实施内容明确性</w:t>
      </w:r>
    </w:p>
    <w:p w14:paraId="1DE27FBD">
      <w:pPr>
        <w:pStyle w:val="21"/>
        <w:tabs>
          <w:tab w:val="left" w:pos="970"/>
        </w:tabs>
        <w:spacing w:line="480" w:lineRule="auto"/>
        <w:rPr>
          <w:rFonts w:asciiTheme="minorEastAsia" w:hAnsiTheme="minorEastAsia" w:eastAsiaTheme="minorEastAsia" w:cstheme="minorBidi"/>
          <w:lang w:val="en-US" w:eastAsia="zh-CN" w:bidi="ar-SA"/>
        </w:rPr>
      </w:pPr>
      <w:r>
        <w:rPr>
          <w:rFonts w:hint="eastAsia" w:asciiTheme="minorEastAsia" w:hAnsiTheme="minorEastAsia" w:eastAsiaTheme="minorEastAsia" w:cstheme="minorBidi"/>
          <w:lang w:val="en-US" w:eastAsia="zh-CN" w:bidi="ar-SA"/>
        </w:rPr>
        <w:t>本项目拟采用政府与社会资本合作模式进行建设和运营。天津市宁河区兴宁建设投资集团有限公司负责建设天津市宁河区桥北新区教育配套工程。天津市宁河区兴宁建设投资集团有限公司代表政府一方，通过公开招标程序选择社会资本一方，签订政府与社会资本合作协议。协议双方按照一定股权比例共同组建项目公司，由该项目公司具体负责工程建设和运营管理。</w:t>
      </w:r>
    </w:p>
    <w:p w14:paraId="154B2910">
      <w:pPr>
        <w:pStyle w:val="21"/>
        <w:tabs>
          <w:tab w:val="left" w:pos="970"/>
        </w:tabs>
        <w:spacing w:line="480" w:lineRule="auto"/>
        <w:rPr>
          <w:rFonts w:asciiTheme="minorEastAsia" w:hAnsiTheme="minorEastAsia" w:eastAsiaTheme="minorEastAsia" w:cstheme="minorBidi"/>
          <w:lang w:val="en-US" w:eastAsia="zh-CN" w:bidi="ar-SA"/>
        </w:rPr>
      </w:pPr>
      <w:r>
        <w:rPr>
          <w:rFonts w:hint="eastAsia" w:asciiTheme="minorEastAsia" w:hAnsiTheme="minorEastAsia" w:eastAsiaTheme="minorEastAsia" w:cstheme="minorBidi"/>
          <w:lang w:val="en-US" w:eastAsia="zh-CN" w:bidi="ar-SA"/>
        </w:rPr>
        <w:t>资金来源为：项目资本金占总投资20%，即5022万元。其中项目资本金的20%，即1004万元，由天津市宁河区兴宁建设投资集团有限公司出资；项目资本金的80%，即4018万元，由社会资本出资。其余80%投资，即20090万元，为银行贷款。</w:t>
      </w:r>
    </w:p>
    <w:p w14:paraId="7F731583">
      <w:pPr>
        <w:pStyle w:val="21"/>
        <w:tabs>
          <w:tab w:val="left" w:pos="970"/>
        </w:tabs>
        <w:spacing w:line="480" w:lineRule="auto"/>
        <w:jc w:val="both"/>
        <w:rPr>
          <w:rFonts w:asciiTheme="minorEastAsia" w:hAnsiTheme="minorEastAsia" w:eastAsiaTheme="minorEastAsia" w:cstheme="minorBidi"/>
          <w:lang w:val="en-US" w:eastAsia="zh-CN" w:bidi="ar-SA"/>
        </w:rPr>
      </w:pPr>
      <w:r>
        <w:rPr>
          <w:rFonts w:hint="eastAsia" w:asciiTheme="minorEastAsia" w:hAnsiTheme="minorEastAsia" w:eastAsiaTheme="minorEastAsia" w:cstheme="minorBidi"/>
          <w:lang w:val="en-US" w:eastAsia="zh-CN" w:bidi="ar-SA"/>
        </w:rPr>
        <w:t>投资回报方式为：本项目为政府付费项目。政府一方不获取股权回报。在运营期内，双方按照商定的回报比例，由政府对社会资本一方出资的资本金部分按等额还本利息照付的方式还款。政府负责银行贷款的本息偿还。</w:t>
      </w:r>
    </w:p>
    <w:p w14:paraId="7D0D4676">
      <w:pPr>
        <w:pStyle w:val="21"/>
        <w:tabs>
          <w:tab w:val="left" w:pos="970"/>
        </w:tabs>
        <w:spacing w:line="480" w:lineRule="auto"/>
        <w:jc w:val="both"/>
        <w:rPr>
          <w:rFonts w:asciiTheme="minorEastAsia" w:hAnsiTheme="minorEastAsia" w:eastAsiaTheme="minorEastAsia" w:cstheme="minorBidi"/>
          <w:lang w:val="en-US" w:eastAsia="zh-CN" w:bidi="ar-SA"/>
        </w:rPr>
      </w:pPr>
      <w:r>
        <w:rPr>
          <w:rFonts w:hint="eastAsia" w:asciiTheme="minorEastAsia" w:hAnsiTheme="minorEastAsia" w:eastAsiaTheme="minorEastAsia" w:cstheme="minorBidi"/>
          <w:lang w:val="en-US" w:eastAsia="zh-CN" w:bidi="ar-SA"/>
        </w:rPr>
        <w:t>2、实施方案可行性</w:t>
      </w:r>
    </w:p>
    <w:p w14:paraId="01551116">
      <w:pPr>
        <w:pStyle w:val="21"/>
        <w:tabs>
          <w:tab w:val="left" w:pos="970"/>
        </w:tabs>
        <w:spacing w:line="480" w:lineRule="auto"/>
        <w:jc w:val="both"/>
        <w:rPr>
          <w:rFonts w:asciiTheme="minorEastAsia" w:hAnsiTheme="minorEastAsia" w:eastAsiaTheme="minorEastAsia" w:cstheme="minorBidi"/>
          <w:lang w:val="en-US" w:eastAsia="zh-CN" w:bidi="ar-SA"/>
        </w:rPr>
      </w:pPr>
      <w:r>
        <w:rPr>
          <w:rFonts w:hint="eastAsia" w:asciiTheme="minorEastAsia" w:hAnsiTheme="minorEastAsia" w:eastAsiaTheme="minorEastAsia" w:cstheme="minorBidi"/>
          <w:lang w:val="en-US" w:eastAsia="zh-CN" w:bidi="ar-SA"/>
        </w:rPr>
        <w:t>天津市宁河区兴宁建设投资集团有限公司与社会资本单位组建项目公司，该项目公司作为项目法人负责项目规划设计、施工管理、基建财务、设备采购等工作。项目公司对项目建设的全过程包括项目管理、招标、设计、监理、施工等单位进行有效监控，并注意与学校、及宁河区和桥北新区相关单位的沟通和协调，保障项目的工期、质量和造价三个目标同时实现。</w:t>
      </w:r>
    </w:p>
    <w:p w14:paraId="377D21FB">
      <w:pPr>
        <w:pStyle w:val="21"/>
        <w:tabs>
          <w:tab w:val="left" w:pos="970"/>
        </w:tabs>
        <w:spacing w:line="480" w:lineRule="auto"/>
        <w:jc w:val="both"/>
        <w:rPr>
          <w:rFonts w:asciiTheme="minorEastAsia" w:hAnsiTheme="minorEastAsia" w:eastAsiaTheme="minorEastAsia" w:cstheme="minorBidi"/>
          <w:lang w:val="en-US" w:eastAsia="zh-CN" w:bidi="ar-SA"/>
        </w:rPr>
      </w:pPr>
      <w:r>
        <w:rPr>
          <w:rFonts w:hint="eastAsia" w:asciiTheme="minorEastAsia" w:hAnsiTheme="minorEastAsia" w:eastAsiaTheme="minorEastAsia" w:cstheme="minorBidi"/>
          <w:lang w:val="en-US" w:eastAsia="zh-CN" w:bidi="ar-SA"/>
        </w:rPr>
        <w:t>3、过程控制有效性</w:t>
      </w:r>
    </w:p>
    <w:p w14:paraId="568D5B5F">
      <w:pPr>
        <w:pStyle w:val="21"/>
        <w:tabs>
          <w:tab w:val="left" w:pos="970"/>
        </w:tabs>
        <w:spacing w:line="480" w:lineRule="auto"/>
        <w:jc w:val="both"/>
        <w:rPr>
          <w:rFonts w:asciiTheme="minorEastAsia" w:hAnsiTheme="minorEastAsia" w:eastAsiaTheme="minorEastAsia" w:cstheme="minorBidi"/>
          <w:lang w:val="en-US" w:eastAsia="zh-CN" w:bidi="ar-SA"/>
        </w:rPr>
      </w:pPr>
      <w:r>
        <w:rPr>
          <w:rFonts w:hint="eastAsia" w:asciiTheme="minorEastAsia" w:hAnsiTheme="minorEastAsia" w:eastAsiaTheme="minorEastAsia" w:cstheme="minorBidi"/>
          <w:lang w:val="en-US" w:eastAsia="zh-CN" w:bidi="ar-SA"/>
        </w:rPr>
        <w:t>该项目执行中管理控制内容为：</w:t>
      </w:r>
    </w:p>
    <w:p w14:paraId="07F731DE">
      <w:pPr>
        <w:pStyle w:val="21"/>
        <w:tabs>
          <w:tab w:val="left" w:pos="970"/>
        </w:tabs>
        <w:spacing w:line="480" w:lineRule="auto"/>
        <w:jc w:val="both"/>
        <w:rPr>
          <w:rFonts w:asciiTheme="minorEastAsia" w:hAnsiTheme="minorEastAsia" w:eastAsiaTheme="minorEastAsia" w:cstheme="minorBidi"/>
          <w:lang w:val="en-US" w:eastAsia="zh-CN" w:bidi="ar-SA"/>
        </w:rPr>
      </w:pPr>
      <w:r>
        <w:rPr>
          <w:rFonts w:hint="eastAsia" w:asciiTheme="minorEastAsia" w:hAnsiTheme="minorEastAsia" w:eastAsiaTheme="minorEastAsia" w:cstheme="minorBidi"/>
          <w:lang w:val="en-US" w:eastAsia="zh-CN" w:bidi="ar-SA"/>
        </w:rPr>
        <w:t>建立项目法人制，成立项目公司，建立项目管理机构，并任命专职项目经理，由项目经理全权组织项目实施。</w:t>
      </w:r>
    </w:p>
    <w:p w14:paraId="3140C9C5">
      <w:pPr>
        <w:pStyle w:val="21"/>
        <w:tabs>
          <w:tab w:val="left" w:pos="970"/>
        </w:tabs>
        <w:spacing w:line="480" w:lineRule="auto"/>
        <w:jc w:val="both"/>
        <w:rPr>
          <w:rFonts w:asciiTheme="minorEastAsia" w:hAnsiTheme="minorEastAsia" w:eastAsiaTheme="minorEastAsia" w:cstheme="minorBidi"/>
          <w:lang w:val="en-US" w:eastAsia="zh-CN" w:bidi="ar-SA"/>
        </w:rPr>
      </w:pPr>
      <w:r>
        <w:rPr>
          <w:rFonts w:hint="eastAsia" w:asciiTheme="minorEastAsia" w:hAnsiTheme="minorEastAsia" w:eastAsiaTheme="minorEastAsia" w:cstheme="minorBidi"/>
          <w:lang w:val="en-US" w:eastAsia="zh-CN" w:bidi="ar-SA"/>
        </w:rPr>
        <w:t>实行招投标制，对工程勘察、设计、施工、监理、主要材料、设备供应单位全部通过招标选定，并严格履行签订的合同。</w:t>
      </w:r>
    </w:p>
    <w:p w14:paraId="1D896648">
      <w:pPr>
        <w:pStyle w:val="21"/>
        <w:tabs>
          <w:tab w:val="left" w:pos="970"/>
        </w:tabs>
        <w:spacing w:line="480" w:lineRule="auto"/>
        <w:jc w:val="both"/>
        <w:rPr>
          <w:rFonts w:asciiTheme="minorEastAsia" w:hAnsiTheme="minorEastAsia" w:eastAsiaTheme="minorEastAsia" w:cstheme="minorBidi"/>
          <w:lang w:val="en-US" w:eastAsia="zh-CN" w:bidi="ar-SA"/>
        </w:rPr>
      </w:pPr>
      <w:r>
        <w:rPr>
          <w:rFonts w:hint="eastAsia" w:asciiTheme="minorEastAsia" w:hAnsiTheme="minorEastAsia" w:eastAsiaTheme="minorEastAsia" w:cstheme="minorBidi"/>
          <w:lang w:val="en-US" w:eastAsia="zh-CN" w:bidi="ar-SA"/>
        </w:rPr>
        <w:t>建立目标管理体系，建立全过程管理，包括：（1）项目进度控制：根据《网络计划技术》（GB/T13400.1—1992、GB/T13400.2—2009、GB/T13400.3—2009）及《工程网络计划技术规程》（JGJ/T121—99）规定，编制总进度计划和子项目进度计划。（2）项目质量控制：按2000年版GB/T19000族标准，坚持“质量第一，预防为主”的方针和“计划、执行、检查、处理”循环工作方法，不断改进质量控制。（3）项目安全控制：项目经理应建立安全管理体系和安全生产责任制。设立项目安全员并应持证上岗，保证项目安全目标的实现。（4）项目成本控制：对项目成本进行预测、计划、实施、核算、分析、考核、整理成本资料，并编制成本报告。（5）项目生产要素管理：包括项目人力资源管理、项目材料管理、项目机械设备管理、项目技术管理、项目资金管理。各项目生产要素应优化配置，动态控制，并降低成本。（6）项目合同管理：项目施工合同管理范围应包括合同的订立、履行、变更、终止和争议解决。项目建设单位委托律师，根据《中华人民共和国民法典》规定，对项目合同进行管理。（7）项目信息管理：项目经理部建立信息管理系统（MIS），优化信息结构，实现项目管理的信息化，确保信息准确、完整地传递给各信息需要点。（8）项</w:t>
      </w:r>
      <w:bookmarkStart w:id="0" w:name="_GoBack"/>
      <w:bookmarkEnd w:id="0"/>
      <w:r>
        <w:rPr>
          <w:rFonts w:hint="eastAsia" w:asciiTheme="minorEastAsia" w:hAnsiTheme="minorEastAsia" w:eastAsiaTheme="minorEastAsia" w:cstheme="minorBidi"/>
          <w:lang w:val="en-US" w:eastAsia="zh-CN" w:bidi="ar-SA"/>
        </w:rPr>
        <w:t>目现场管理：项目经理部应搞好现场管理，做到文明施工，安全有序，整洁卫生，不扰民，现场门头设承包人标志和工程概况牌，规范场容，做好环境保护、防火保安和卫生防疫工作。（9）项目组织协调：项目经理部应做好人际关系、组织机构关系、供求关系、协作配合关系的协调，排除矛盾，保证项目目标的顺利实现。（10）项目竣工验收：项目建设单位应与项目承包方进行工程交付工作，其程序按竣工验收准备、编制竣工验收计划、组织现场验收、进行竣工结算、移交竣工资料、办理交工手续依次进行。</w:t>
      </w:r>
    </w:p>
    <w:p w14:paraId="3B259838">
      <w:pPr>
        <w:pStyle w:val="21"/>
        <w:tabs>
          <w:tab w:val="left" w:pos="970"/>
        </w:tabs>
        <w:spacing w:before="156" w:beforeLines="50" w:after="156" w:afterLines="50" w:line="360" w:lineRule="auto"/>
        <w:jc w:val="both"/>
        <w:rPr>
          <w:rFonts w:asciiTheme="minorEastAsia" w:hAnsiTheme="minorEastAsia" w:eastAsiaTheme="minorEastAsia" w:cstheme="minorBidi"/>
          <w:lang w:val="en-US" w:eastAsia="zh-CN" w:bidi="ar-SA"/>
        </w:rPr>
      </w:pPr>
      <w:r>
        <w:rPr>
          <w:rFonts w:hint="eastAsia" w:asciiTheme="minorEastAsia" w:hAnsiTheme="minorEastAsia" w:eastAsiaTheme="minorEastAsia" w:cstheme="minorBidi"/>
          <w:lang w:val="en-US" w:eastAsia="zh-CN" w:bidi="ar-SA"/>
        </w:rPr>
        <w:t>评估认为，该项目实施方案具备有效性，实方案施内容明确，实施方案可行，项目执行中过程控制具备有效性。</w:t>
      </w:r>
    </w:p>
    <w:p w14:paraId="2C4D81CC">
      <w:pPr>
        <w:spacing w:before="156" w:beforeLines="50" w:after="156" w:afterLines="50" w:line="360" w:lineRule="auto"/>
        <w:ind w:firstLine="522" w:firstLineChars="200"/>
        <w:rPr>
          <w:rFonts w:asciiTheme="minorEastAsia" w:hAnsiTheme="minorEastAsia"/>
          <w:b/>
          <w:sz w:val="26"/>
          <w:szCs w:val="26"/>
        </w:rPr>
      </w:pPr>
      <w:r>
        <w:rPr>
          <w:rFonts w:hint="eastAsia" w:asciiTheme="minorEastAsia" w:hAnsiTheme="minorEastAsia"/>
          <w:b/>
          <w:sz w:val="26"/>
          <w:szCs w:val="26"/>
        </w:rPr>
        <w:t>（五）筹资合规性</w:t>
      </w:r>
    </w:p>
    <w:p w14:paraId="347946B4">
      <w:pPr>
        <w:spacing w:before="156" w:beforeLines="50" w:after="156" w:afterLines="50" w:line="360" w:lineRule="auto"/>
        <w:ind w:firstLine="520" w:firstLineChars="200"/>
        <w:rPr>
          <w:rFonts w:asciiTheme="minorEastAsia" w:hAnsiTheme="minorEastAsia"/>
          <w:sz w:val="26"/>
          <w:szCs w:val="26"/>
        </w:rPr>
      </w:pPr>
      <w:r>
        <w:rPr>
          <w:rFonts w:hint="eastAsia" w:asciiTheme="minorEastAsia" w:hAnsiTheme="minorEastAsia"/>
          <w:sz w:val="26"/>
          <w:szCs w:val="26"/>
        </w:rPr>
        <w:t>根据《天津市宁河区芦台一中迁址新建及教育配套工程PPP项目合同》第30.1条约定“本项目的可用性付费和运维绩效服务费在建设期内均不用向乙方支付，进入运营期后原则上每年支付2次，分别为每年的3月份和9月份内进入支付程序。”“甲方按照本合同第27条之规定，在运营期内每年对本项目的运营维护效果进行绩效评价，根据评价结果确定绩效考核系数S及政府支付规模，并及时、足额进行付费。”以及4.2项目投融资结构和4.3项目回报机制等规定，根据财金【2019】10号文、财金【2020】13号文的规定以及上述PPP项目合同的约定，政府付费应结合绩效考核结果，按照付费公式计算后进行支付。</w:t>
      </w:r>
    </w:p>
    <w:p w14:paraId="2B9A27D5">
      <w:pPr>
        <w:spacing w:before="156" w:beforeLines="50" w:after="156" w:afterLines="50" w:line="360" w:lineRule="auto"/>
        <w:ind w:firstLine="520" w:firstLineChars="200"/>
        <w:rPr>
          <w:rFonts w:asciiTheme="minorEastAsia" w:hAnsiTheme="minorEastAsia"/>
          <w:sz w:val="26"/>
          <w:szCs w:val="26"/>
        </w:rPr>
      </w:pPr>
      <w:r>
        <w:rPr>
          <w:rFonts w:hint="eastAsia" w:asciiTheme="minorEastAsia" w:hAnsiTheme="minorEastAsia"/>
          <w:sz w:val="26"/>
          <w:szCs w:val="26"/>
        </w:rPr>
        <w:t>评估认为，该项目筹资具备合规性。项目资金筹措程序有相关论证资料，财政资金支持方式科学合理。</w:t>
      </w:r>
    </w:p>
    <w:p w14:paraId="53F6D1F2">
      <w:pPr>
        <w:spacing w:line="480" w:lineRule="auto"/>
        <w:ind w:firstLine="522" w:firstLineChars="200"/>
        <w:rPr>
          <w:rFonts w:asciiTheme="minorEastAsia" w:hAnsiTheme="minorEastAsia"/>
          <w:b/>
          <w:sz w:val="26"/>
          <w:szCs w:val="26"/>
        </w:rPr>
      </w:pPr>
      <w:r>
        <w:rPr>
          <w:rFonts w:hint="eastAsia" w:asciiTheme="minorEastAsia" w:hAnsiTheme="minorEastAsia"/>
          <w:b/>
          <w:sz w:val="26"/>
          <w:szCs w:val="26"/>
        </w:rPr>
        <w:t>四、问题分析</w:t>
      </w:r>
    </w:p>
    <w:p w14:paraId="3EE11A43">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该项目为PPP模式，政府吸引民营资本投入到教育领域项目，以弥补公共财政资金的不足，缓解财政压力，加快推进教育事业的发展；于社会资本而言，由于与政府形成合作伙伴关系，可获得稳定可靠的收入来源，从而降低资金风险，提高参与积极性。但是该项目存在如下几个问题：</w:t>
      </w:r>
    </w:p>
    <w:p w14:paraId="5CB96503">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一、《政府和社会资本合作（PPP）项目绩效管理操作指引》要求，“PPP项目绩效目标包括总体绩效目标和年度绩效目标。”，该项目绩效目标未设定总体绩效目标和年度绩效目标，个别绩效指标设置不够精准、细化。</w:t>
      </w:r>
    </w:p>
    <w:p w14:paraId="4F651AC7">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二、《政府和社会资本合作（PPP）项目绩效管理操作指引》要求，“结合PPP项目实施进度及按效付费的需要确定绩效评价时点。原则上项目建设期应结合竣工验收开展一次绩效评价，分期建设的项目应当结合各期子项目竣工验收开展绩效评价；项目运营期每年度应至少开展一次绩效评价，每3-5年应结合年度绩效评价情况对项目开展中期评估；移交完成后应开展一次后评价”，据了解，项目单位并未开展相关绩效评价。</w:t>
      </w:r>
    </w:p>
    <w:p w14:paraId="74C11357">
      <w:pPr>
        <w:spacing w:before="156" w:beforeLines="50" w:after="156" w:afterLines="50" w:line="480" w:lineRule="auto"/>
        <w:ind w:firstLine="522" w:firstLineChars="200"/>
        <w:rPr>
          <w:rFonts w:asciiTheme="minorEastAsia" w:hAnsiTheme="minorEastAsia"/>
          <w:b/>
          <w:sz w:val="26"/>
          <w:szCs w:val="26"/>
        </w:rPr>
      </w:pPr>
      <w:r>
        <w:rPr>
          <w:rFonts w:hint="eastAsia" w:asciiTheme="minorEastAsia" w:hAnsiTheme="minorEastAsia"/>
          <w:b/>
          <w:sz w:val="26"/>
          <w:szCs w:val="26"/>
        </w:rPr>
        <w:t>五、相关建议</w:t>
      </w:r>
    </w:p>
    <w:p w14:paraId="2E0FE2A6">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针对评估过程发现的问题及相关情况，提出以下预算绩效管理意见和建议，供委托方决策参考。</w:t>
      </w:r>
    </w:p>
    <w:p w14:paraId="3276BF77">
      <w:pPr>
        <w:spacing w:line="480" w:lineRule="auto"/>
        <w:rPr>
          <w:rFonts w:asciiTheme="minorEastAsia" w:hAnsiTheme="minorEastAsia"/>
          <w:sz w:val="26"/>
          <w:szCs w:val="26"/>
        </w:rPr>
      </w:pPr>
      <w:r>
        <w:rPr>
          <w:rFonts w:hint="eastAsia" w:asciiTheme="minorEastAsia" w:hAnsiTheme="minorEastAsia"/>
          <w:sz w:val="26"/>
          <w:szCs w:val="26"/>
        </w:rPr>
        <w:t xml:space="preserve">   一、建议进一步开展绩效管理培训，增强绩效管理意识。绩效管理是一项技术性专业性规范性较强的工作，建议各级管理部门按照预算管理的全流程环节，可按绩效目标管理、绩效运行监控和自评、绩效评价进行专项培训，按项目支出评价、单位整体支出评价、政策评价进行案例培训，全面提升预算执行主体和预算绩效管理主体的绩效管理水平。</w:t>
      </w:r>
    </w:p>
    <w:p w14:paraId="109C04CF">
      <w:pPr>
        <w:spacing w:line="480" w:lineRule="auto"/>
        <w:ind w:firstLine="520" w:firstLineChars="200"/>
        <w:rPr>
          <w:rFonts w:asciiTheme="minorEastAsia" w:hAnsiTheme="minorEastAsia"/>
          <w:sz w:val="26"/>
          <w:szCs w:val="26"/>
        </w:rPr>
      </w:pPr>
      <w:r>
        <w:rPr>
          <w:rFonts w:asciiTheme="minorEastAsia" w:hAnsiTheme="minorEastAsia"/>
          <w:sz w:val="26"/>
          <w:szCs w:val="26"/>
        </w:rPr>
        <w:t>二、建议</w:t>
      </w:r>
      <w:r>
        <w:rPr>
          <w:rFonts w:hint="eastAsia" w:asciiTheme="minorEastAsia" w:hAnsiTheme="minorEastAsia"/>
          <w:sz w:val="26"/>
          <w:szCs w:val="26"/>
        </w:rPr>
        <w:t>重视在执行PPP项目中，绩效评价对项目是否取得成效所起的重要作用。在财政部《关于推广运用政府和社会资本合作模式有关问题的通知》（财金〔2014〕76号）、国家发改委等6部委颁布的《基础设施和公用事业特许经营管理办法》、国家发改委《关于印发传统基础设施领域实施政府和社会资本合作项目工作导则的通知》（发改投资〔2016〕2231号）等近年出台的各项规定中均明确，绩效评价工作是监督与管理PPP项目规范执行的重要手段，也都明确要求PPP项目要进行绩效评价。同时也要注意，在设置绩效评价指标设置须考虑全生命周期。</w:t>
      </w:r>
    </w:p>
    <w:p w14:paraId="4C71451A">
      <w:pPr>
        <w:spacing w:line="360" w:lineRule="auto"/>
        <w:ind w:firstLine="522" w:firstLineChars="200"/>
        <w:rPr>
          <w:rFonts w:asciiTheme="minorEastAsia" w:hAnsiTheme="minorEastAsia"/>
          <w:b/>
          <w:sz w:val="26"/>
          <w:szCs w:val="26"/>
        </w:rPr>
      </w:pPr>
      <w:r>
        <w:rPr>
          <w:rFonts w:hint="eastAsia" w:asciiTheme="minorEastAsia" w:hAnsiTheme="minorEastAsia"/>
          <w:b/>
          <w:sz w:val="26"/>
          <w:szCs w:val="26"/>
        </w:rPr>
        <w:t>六、评估结论</w:t>
      </w:r>
    </w:p>
    <w:p w14:paraId="3074D05C">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该项目符合现实需求，与宁河区教育局职责基本相关；绩效目标、指标设置仍有完善的空间；需要重视绩效评价对PPP项目实施中所起的关键作用，从而进行相应的绩效评价工作。</w:t>
      </w:r>
    </w:p>
    <w:p w14:paraId="0C6A3211">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综上，综合评估，总体结论为：“予以支持”，建议预算支持4466万元。</w:t>
      </w:r>
    </w:p>
    <w:p w14:paraId="26A5A53B">
      <w:pPr>
        <w:spacing w:before="156" w:beforeLines="50" w:after="156" w:afterLines="50" w:line="360" w:lineRule="auto"/>
        <w:ind w:firstLine="522" w:firstLineChars="200"/>
        <w:rPr>
          <w:rFonts w:asciiTheme="minorEastAsia" w:hAnsiTheme="minorEastAsia"/>
          <w:b/>
          <w:sz w:val="26"/>
          <w:szCs w:val="26"/>
        </w:rPr>
      </w:pPr>
      <w:r>
        <w:rPr>
          <w:rFonts w:hint="eastAsia" w:asciiTheme="minorEastAsia" w:hAnsiTheme="minorEastAsia"/>
          <w:b/>
          <w:sz w:val="26"/>
          <w:szCs w:val="26"/>
        </w:rPr>
        <w:t>七、其他需要说明的问题</w:t>
      </w:r>
    </w:p>
    <w:p w14:paraId="3BC090AA">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本报</w:t>
      </w:r>
      <w:r>
        <w:rPr>
          <w:rFonts w:hint="eastAsia" w:asciiTheme="minorEastAsia" w:hAnsiTheme="minorEastAsia"/>
          <w:sz w:val="26"/>
          <w:szCs w:val="26"/>
          <w:lang w:val="en-US" w:eastAsia="zh-CN"/>
        </w:rPr>
        <w:t>告</w:t>
      </w:r>
      <w:r>
        <w:rPr>
          <w:rFonts w:hint="eastAsia" w:asciiTheme="minorEastAsia" w:hAnsiTheme="minorEastAsia"/>
          <w:sz w:val="26"/>
          <w:szCs w:val="26"/>
        </w:rPr>
        <w:t>是评估机构根据对项目主管单位所提供的材料并结合与项目相关单位沟通所了解的情况，在综合分析的基础上形成的。本报告的结论与意见是参考性的，仅供财政部门批复预算时使用，不做其他用途。</w:t>
      </w:r>
    </w:p>
    <w:p w14:paraId="657AA77E">
      <w:pPr>
        <w:spacing w:before="156" w:beforeLines="50" w:after="156" w:afterLines="50" w:line="360" w:lineRule="auto"/>
        <w:ind w:firstLine="3380" w:firstLineChars="1300"/>
        <w:jc w:val="center"/>
        <w:rPr>
          <w:rFonts w:asciiTheme="minorEastAsia" w:hAnsiTheme="minorEastAsia"/>
          <w:sz w:val="26"/>
          <w:szCs w:val="26"/>
        </w:rPr>
      </w:pPr>
      <w:r>
        <w:rPr>
          <w:rFonts w:hint="eastAsia" w:asciiTheme="minorEastAsia" w:hAnsiTheme="minorEastAsia"/>
          <w:sz w:val="26"/>
          <w:szCs w:val="26"/>
        </w:rPr>
        <w:t>立信中联会计师事务所（特殊普通合伙）</w:t>
      </w:r>
    </w:p>
    <w:p w14:paraId="2D786F88">
      <w:pPr>
        <w:spacing w:before="156" w:beforeLines="50" w:after="156" w:afterLines="50" w:line="360" w:lineRule="auto"/>
        <w:ind w:firstLine="3380" w:firstLineChars="1300"/>
        <w:jc w:val="center"/>
        <w:rPr>
          <w:rFonts w:asciiTheme="minorEastAsia" w:hAnsiTheme="minorEastAsia"/>
          <w:sz w:val="26"/>
          <w:szCs w:val="26"/>
        </w:rPr>
      </w:pPr>
      <w:r>
        <w:rPr>
          <w:rFonts w:hint="eastAsia" w:asciiTheme="minorEastAsia" w:hAnsiTheme="minorEastAsia"/>
          <w:sz w:val="26"/>
          <w:szCs w:val="26"/>
        </w:rPr>
        <w:t>二〇二一年十一月一日</w:t>
      </w:r>
    </w:p>
    <w:sectPr>
      <w:footerReference r:id="rId3" w:type="default"/>
      <w:pgSz w:w="11906" w:h="16838"/>
      <w:pgMar w:top="1440" w:right="1800" w:bottom="1440" w:left="1800" w:header="851" w:footer="992" w:gutter="0"/>
      <w:pgNumType w:start="1" w:chapStyle="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2529447"/>
      <w:docPartObj>
        <w:docPartGallery w:val="autotext"/>
      </w:docPartObj>
    </w:sdtPr>
    <w:sdtContent>
      <w:p w14:paraId="2A32E1F3">
        <w:pPr>
          <w:pStyle w:val="6"/>
          <w:jc w:val="center"/>
        </w:pPr>
        <w:r>
          <w:fldChar w:fldCharType="begin"/>
        </w:r>
        <w:r>
          <w:instrText xml:space="preserve">PAGE   \* MERGEFORMAT</w:instrText>
        </w:r>
        <w:r>
          <w:fldChar w:fldCharType="separate"/>
        </w:r>
        <w:r>
          <w:rPr>
            <w:lang w:val="zh-CN"/>
          </w:rPr>
          <w:t>2</w:t>
        </w:r>
        <w:r>
          <w:fldChar w:fldCharType="end"/>
        </w:r>
      </w:p>
    </w:sdtContent>
  </w:sdt>
  <w:p w14:paraId="7D12E59D">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52C"/>
    <w:rsid w:val="0000055D"/>
    <w:rsid w:val="000016AB"/>
    <w:rsid w:val="00030722"/>
    <w:rsid w:val="000331E5"/>
    <w:rsid w:val="000334AD"/>
    <w:rsid w:val="00040F4F"/>
    <w:rsid w:val="00066762"/>
    <w:rsid w:val="00084F99"/>
    <w:rsid w:val="000978B1"/>
    <w:rsid w:val="000A000D"/>
    <w:rsid w:val="000A566D"/>
    <w:rsid w:val="000B0E65"/>
    <w:rsid w:val="000B1932"/>
    <w:rsid w:val="000C18E9"/>
    <w:rsid w:val="000C37EE"/>
    <w:rsid w:val="000C713D"/>
    <w:rsid w:val="000D292D"/>
    <w:rsid w:val="000D4D63"/>
    <w:rsid w:val="000E1B1F"/>
    <w:rsid w:val="000E3347"/>
    <w:rsid w:val="000F209A"/>
    <w:rsid w:val="000F24D8"/>
    <w:rsid w:val="000F2BE5"/>
    <w:rsid w:val="000F5431"/>
    <w:rsid w:val="000F5F5A"/>
    <w:rsid w:val="0010254C"/>
    <w:rsid w:val="00104B73"/>
    <w:rsid w:val="001070DD"/>
    <w:rsid w:val="001105C4"/>
    <w:rsid w:val="00114B33"/>
    <w:rsid w:val="00127B86"/>
    <w:rsid w:val="00145595"/>
    <w:rsid w:val="001466BD"/>
    <w:rsid w:val="001565EA"/>
    <w:rsid w:val="00161FFD"/>
    <w:rsid w:val="001679DF"/>
    <w:rsid w:val="001810CF"/>
    <w:rsid w:val="0019322C"/>
    <w:rsid w:val="00194573"/>
    <w:rsid w:val="001A32E1"/>
    <w:rsid w:val="001A3839"/>
    <w:rsid w:val="001A4906"/>
    <w:rsid w:val="001B024A"/>
    <w:rsid w:val="001B1EC2"/>
    <w:rsid w:val="001B281C"/>
    <w:rsid w:val="001C1FE3"/>
    <w:rsid w:val="001C5ACC"/>
    <w:rsid w:val="001C5E72"/>
    <w:rsid w:val="001D09C0"/>
    <w:rsid w:val="001E0235"/>
    <w:rsid w:val="001E0F8D"/>
    <w:rsid w:val="001E2FF1"/>
    <w:rsid w:val="001F1B0F"/>
    <w:rsid w:val="001F7447"/>
    <w:rsid w:val="00202A91"/>
    <w:rsid w:val="00206308"/>
    <w:rsid w:val="002071BD"/>
    <w:rsid w:val="00215619"/>
    <w:rsid w:val="00232D91"/>
    <w:rsid w:val="00235C44"/>
    <w:rsid w:val="00240029"/>
    <w:rsid w:val="002463A3"/>
    <w:rsid w:val="002515C9"/>
    <w:rsid w:val="00251A63"/>
    <w:rsid w:val="002547E2"/>
    <w:rsid w:val="002610C2"/>
    <w:rsid w:val="002675F2"/>
    <w:rsid w:val="00267D55"/>
    <w:rsid w:val="00270042"/>
    <w:rsid w:val="00272709"/>
    <w:rsid w:val="00280D44"/>
    <w:rsid w:val="00283EC4"/>
    <w:rsid w:val="0028441F"/>
    <w:rsid w:val="002A02C8"/>
    <w:rsid w:val="002A0439"/>
    <w:rsid w:val="002A638C"/>
    <w:rsid w:val="002B5427"/>
    <w:rsid w:val="002C7BB4"/>
    <w:rsid w:val="002D14B7"/>
    <w:rsid w:val="002D2780"/>
    <w:rsid w:val="002D43C6"/>
    <w:rsid w:val="002E1BD9"/>
    <w:rsid w:val="002E3985"/>
    <w:rsid w:val="002F1978"/>
    <w:rsid w:val="002F5FB0"/>
    <w:rsid w:val="00305275"/>
    <w:rsid w:val="003101B0"/>
    <w:rsid w:val="00314A89"/>
    <w:rsid w:val="00326F95"/>
    <w:rsid w:val="00331CCD"/>
    <w:rsid w:val="00336F07"/>
    <w:rsid w:val="003668F1"/>
    <w:rsid w:val="00383004"/>
    <w:rsid w:val="0038372B"/>
    <w:rsid w:val="00393AF8"/>
    <w:rsid w:val="003A682C"/>
    <w:rsid w:val="003A79A1"/>
    <w:rsid w:val="003B3CAF"/>
    <w:rsid w:val="003B6034"/>
    <w:rsid w:val="003B7467"/>
    <w:rsid w:val="003C31B1"/>
    <w:rsid w:val="003C5902"/>
    <w:rsid w:val="003C640E"/>
    <w:rsid w:val="003D351A"/>
    <w:rsid w:val="003E1449"/>
    <w:rsid w:val="003E4CF5"/>
    <w:rsid w:val="00406076"/>
    <w:rsid w:val="004249C3"/>
    <w:rsid w:val="0043247C"/>
    <w:rsid w:val="00437AC1"/>
    <w:rsid w:val="0044345E"/>
    <w:rsid w:val="00446BB6"/>
    <w:rsid w:val="00447773"/>
    <w:rsid w:val="004535C2"/>
    <w:rsid w:val="00473232"/>
    <w:rsid w:val="00495881"/>
    <w:rsid w:val="00497860"/>
    <w:rsid w:val="00497D26"/>
    <w:rsid w:val="004C3C6E"/>
    <w:rsid w:val="004E08CE"/>
    <w:rsid w:val="004E764E"/>
    <w:rsid w:val="004F4527"/>
    <w:rsid w:val="00521F00"/>
    <w:rsid w:val="00526937"/>
    <w:rsid w:val="00543F57"/>
    <w:rsid w:val="0055140F"/>
    <w:rsid w:val="0056694F"/>
    <w:rsid w:val="005705B4"/>
    <w:rsid w:val="00571028"/>
    <w:rsid w:val="005718EE"/>
    <w:rsid w:val="00575B59"/>
    <w:rsid w:val="00580F56"/>
    <w:rsid w:val="005850D0"/>
    <w:rsid w:val="0059437A"/>
    <w:rsid w:val="005A33C8"/>
    <w:rsid w:val="005A5B2F"/>
    <w:rsid w:val="005A691A"/>
    <w:rsid w:val="005B26A7"/>
    <w:rsid w:val="005B27FD"/>
    <w:rsid w:val="005D256C"/>
    <w:rsid w:val="005D4BC7"/>
    <w:rsid w:val="005E10CE"/>
    <w:rsid w:val="005E31D0"/>
    <w:rsid w:val="005E58B8"/>
    <w:rsid w:val="005E6E43"/>
    <w:rsid w:val="005F072B"/>
    <w:rsid w:val="005F7185"/>
    <w:rsid w:val="00607A91"/>
    <w:rsid w:val="0061500C"/>
    <w:rsid w:val="00632E68"/>
    <w:rsid w:val="006372E0"/>
    <w:rsid w:val="006377EE"/>
    <w:rsid w:val="00640B94"/>
    <w:rsid w:val="006425C3"/>
    <w:rsid w:val="00651429"/>
    <w:rsid w:val="006632DA"/>
    <w:rsid w:val="00671DC9"/>
    <w:rsid w:val="006804D9"/>
    <w:rsid w:val="00687B2D"/>
    <w:rsid w:val="006A3CF5"/>
    <w:rsid w:val="006A6D86"/>
    <w:rsid w:val="006A701C"/>
    <w:rsid w:val="006B0CE6"/>
    <w:rsid w:val="006B2B1D"/>
    <w:rsid w:val="006B54C0"/>
    <w:rsid w:val="006D0189"/>
    <w:rsid w:val="006D1644"/>
    <w:rsid w:val="006D47EC"/>
    <w:rsid w:val="006E1362"/>
    <w:rsid w:val="006E3117"/>
    <w:rsid w:val="006E3999"/>
    <w:rsid w:val="006E6AEC"/>
    <w:rsid w:val="0070331D"/>
    <w:rsid w:val="00703BB1"/>
    <w:rsid w:val="0070414C"/>
    <w:rsid w:val="00710083"/>
    <w:rsid w:val="00722EB2"/>
    <w:rsid w:val="00725F83"/>
    <w:rsid w:val="00731451"/>
    <w:rsid w:val="00732BE0"/>
    <w:rsid w:val="00733669"/>
    <w:rsid w:val="00741578"/>
    <w:rsid w:val="007443D9"/>
    <w:rsid w:val="0075348E"/>
    <w:rsid w:val="00755B29"/>
    <w:rsid w:val="007604E7"/>
    <w:rsid w:val="007704D8"/>
    <w:rsid w:val="00771C85"/>
    <w:rsid w:val="00784262"/>
    <w:rsid w:val="00792A97"/>
    <w:rsid w:val="007A4C03"/>
    <w:rsid w:val="007B0B0F"/>
    <w:rsid w:val="007B2A05"/>
    <w:rsid w:val="007B3042"/>
    <w:rsid w:val="007B58A7"/>
    <w:rsid w:val="007D37BD"/>
    <w:rsid w:val="007D3970"/>
    <w:rsid w:val="007D60DE"/>
    <w:rsid w:val="007E036F"/>
    <w:rsid w:val="007E556D"/>
    <w:rsid w:val="007F0024"/>
    <w:rsid w:val="007F0F21"/>
    <w:rsid w:val="007F1878"/>
    <w:rsid w:val="007F6EC2"/>
    <w:rsid w:val="00801E9E"/>
    <w:rsid w:val="00806356"/>
    <w:rsid w:val="00812553"/>
    <w:rsid w:val="00813A1D"/>
    <w:rsid w:val="00822F5A"/>
    <w:rsid w:val="0082562C"/>
    <w:rsid w:val="00827EDD"/>
    <w:rsid w:val="00852C16"/>
    <w:rsid w:val="00854094"/>
    <w:rsid w:val="00863EF5"/>
    <w:rsid w:val="00867C8D"/>
    <w:rsid w:val="008905CF"/>
    <w:rsid w:val="00893EAC"/>
    <w:rsid w:val="0089764C"/>
    <w:rsid w:val="008A3858"/>
    <w:rsid w:val="008A3CBB"/>
    <w:rsid w:val="008B257D"/>
    <w:rsid w:val="008C5327"/>
    <w:rsid w:val="008C6748"/>
    <w:rsid w:val="008C7930"/>
    <w:rsid w:val="008D1A90"/>
    <w:rsid w:val="008D3731"/>
    <w:rsid w:val="008D5B03"/>
    <w:rsid w:val="008E10C5"/>
    <w:rsid w:val="008E7915"/>
    <w:rsid w:val="0090513F"/>
    <w:rsid w:val="00907B08"/>
    <w:rsid w:val="00907E14"/>
    <w:rsid w:val="009143C0"/>
    <w:rsid w:val="00916F0F"/>
    <w:rsid w:val="00930099"/>
    <w:rsid w:val="00942BCF"/>
    <w:rsid w:val="009510FD"/>
    <w:rsid w:val="009517A4"/>
    <w:rsid w:val="009615A0"/>
    <w:rsid w:val="00971006"/>
    <w:rsid w:val="009804A1"/>
    <w:rsid w:val="00981246"/>
    <w:rsid w:val="00987598"/>
    <w:rsid w:val="0099029A"/>
    <w:rsid w:val="0099152C"/>
    <w:rsid w:val="0099378E"/>
    <w:rsid w:val="009A39B0"/>
    <w:rsid w:val="009B5CFD"/>
    <w:rsid w:val="009D4B78"/>
    <w:rsid w:val="009D743A"/>
    <w:rsid w:val="009D74A6"/>
    <w:rsid w:val="009E174A"/>
    <w:rsid w:val="009E74D2"/>
    <w:rsid w:val="009E74F2"/>
    <w:rsid w:val="009F030C"/>
    <w:rsid w:val="009F20FF"/>
    <w:rsid w:val="00A01EBC"/>
    <w:rsid w:val="00A066FB"/>
    <w:rsid w:val="00A14BB8"/>
    <w:rsid w:val="00A24894"/>
    <w:rsid w:val="00A35A99"/>
    <w:rsid w:val="00A425AF"/>
    <w:rsid w:val="00A429C7"/>
    <w:rsid w:val="00A538FF"/>
    <w:rsid w:val="00A54D24"/>
    <w:rsid w:val="00A56D97"/>
    <w:rsid w:val="00A61EBF"/>
    <w:rsid w:val="00A65494"/>
    <w:rsid w:val="00A753E2"/>
    <w:rsid w:val="00A77B67"/>
    <w:rsid w:val="00A80AAA"/>
    <w:rsid w:val="00A840B6"/>
    <w:rsid w:val="00A92E0E"/>
    <w:rsid w:val="00A9690F"/>
    <w:rsid w:val="00AA40A7"/>
    <w:rsid w:val="00AA5B2D"/>
    <w:rsid w:val="00AC30E1"/>
    <w:rsid w:val="00AC4DD7"/>
    <w:rsid w:val="00AD0EFA"/>
    <w:rsid w:val="00AD5B69"/>
    <w:rsid w:val="00AD72DC"/>
    <w:rsid w:val="00AE3D6E"/>
    <w:rsid w:val="00AF5D18"/>
    <w:rsid w:val="00AF63E3"/>
    <w:rsid w:val="00B009B7"/>
    <w:rsid w:val="00B03E16"/>
    <w:rsid w:val="00B20880"/>
    <w:rsid w:val="00B215AB"/>
    <w:rsid w:val="00B222EB"/>
    <w:rsid w:val="00B22F6C"/>
    <w:rsid w:val="00B32285"/>
    <w:rsid w:val="00B33AF6"/>
    <w:rsid w:val="00B42B5C"/>
    <w:rsid w:val="00B4368E"/>
    <w:rsid w:val="00B5204A"/>
    <w:rsid w:val="00B52F0A"/>
    <w:rsid w:val="00B53829"/>
    <w:rsid w:val="00B54CFF"/>
    <w:rsid w:val="00B62133"/>
    <w:rsid w:val="00B71785"/>
    <w:rsid w:val="00B719F1"/>
    <w:rsid w:val="00B72552"/>
    <w:rsid w:val="00B81BAF"/>
    <w:rsid w:val="00B8779A"/>
    <w:rsid w:val="00BB556C"/>
    <w:rsid w:val="00BB5EA3"/>
    <w:rsid w:val="00BC0AD7"/>
    <w:rsid w:val="00BC5C7C"/>
    <w:rsid w:val="00BD590D"/>
    <w:rsid w:val="00BE22C7"/>
    <w:rsid w:val="00BE34C9"/>
    <w:rsid w:val="00BF5B78"/>
    <w:rsid w:val="00BF7472"/>
    <w:rsid w:val="00BF7E2B"/>
    <w:rsid w:val="00C22E16"/>
    <w:rsid w:val="00C3538B"/>
    <w:rsid w:val="00C37E63"/>
    <w:rsid w:val="00C45409"/>
    <w:rsid w:val="00C45FE8"/>
    <w:rsid w:val="00C556EB"/>
    <w:rsid w:val="00C66116"/>
    <w:rsid w:val="00C8166B"/>
    <w:rsid w:val="00C95CF8"/>
    <w:rsid w:val="00CA0A93"/>
    <w:rsid w:val="00CA6094"/>
    <w:rsid w:val="00CA7567"/>
    <w:rsid w:val="00CB0415"/>
    <w:rsid w:val="00CB4F5D"/>
    <w:rsid w:val="00CB65A6"/>
    <w:rsid w:val="00CC447E"/>
    <w:rsid w:val="00CC4CBD"/>
    <w:rsid w:val="00CC569D"/>
    <w:rsid w:val="00CD2D8C"/>
    <w:rsid w:val="00CD5E38"/>
    <w:rsid w:val="00D0165B"/>
    <w:rsid w:val="00D06446"/>
    <w:rsid w:val="00D1589D"/>
    <w:rsid w:val="00D42953"/>
    <w:rsid w:val="00D5053F"/>
    <w:rsid w:val="00D56D79"/>
    <w:rsid w:val="00D753F5"/>
    <w:rsid w:val="00D80A8B"/>
    <w:rsid w:val="00D8234C"/>
    <w:rsid w:val="00D86F68"/>
    <w:rsid w:val="00DA27D6"/>
    <w:rsid w:val="00DA76AF"/>
    <w:rsid w:val="00DB5251"/>
    <w:rsid w:val="00DC6EF9"/>
    <w:rsid w:val="00DD3BEF"/>
    <w:rsid w:val="00DD3ECA"/>
    <w:rsid w:val="00DD55CC"/>
    <w:rsid w:val="00DE062A"/>
    <w:rsid w:val="00DF0851"/>
    <w:rsid w:val="00DF2B64"/>
    <w:rsid w:val="00DF3A5D"/>
    <w:rsid w:val="00E1521F"/>
    <w:rsid w:val="00E25E3D"/>
    <w:rsid w:val="00E2687E"/>
    <w:rsid w:val="00E33AF0"/>
    <w:rsid w:val="00E4192A"/>
    <w:rsid w:val="00E54501"/>
    <w:rsid w:val="00E61C36"/>
    <w:rsid w:val="00E75BC2"/>
    <w:rsid w:val="00E85312"/>
    <w:rsid w:val="00E95409"/>
    <w:rsid w:val="00EB3C75"/>
    <w:rsid w:val="00EC0361"/>
    <w:rsid w:val="00EC53F5"/>
    <w:rsid w:val="00ED5DBD"/>
    <w:rsid w:val="00ED71A1"/>
    <w:rsid w:val="00EE4627"/>
    <w:rsid w:val="00F00B10"/>
    <w:rsid w:val="00F15CFC"/>
    <w:rsid w:val="00F26D2A"/>
    <w:rsid w:val="00F27716"/>
    <w:rsid w:val="00F4529A"/>
    <w:rsid w:val="00F47402"/>
    <w:rsid w:val="00F7030A"/>
    <w:rsid w:val="00F7491F"/>
    <w:rsid w:val="00F80A69"/>
    <w:rsid w:val="00F81F06"/>
    <w:rsid w:val="00F93A44"/>
    <w:rsid w:val="00F945DC"/>
    <w:rsid w:val="00F94F2D"/>
    <w:rsid w:val="00FA082D"/>
    <w:rsid w:val="00FA3953"/>
    <w:rsid w:val="00FA46C0"/>
    <w:rsid w:val="00FB216A"/>
    <w:rsid w:val="00FC0453"/>
    <w:rsid w:val="00FC155A"/>
    <w:rsid w:val="00FD09CD"/>
    <w:rsid w:val="00FD2F01"/>
    <w:rsid w:val="00FD4AB5"/>
    <w:rsid w:val="00FE24E2"/>
    <w:rsid w:val="00FF6A73"/>
    <w:rsid w:val="108F1F1B"/>
    <w:rsid w:val="15716567"/>
    <w:rsid w:val="23827D58"/>
    <w:rsid w:val="28CE6FB0"/>
    <w:rsid w:val="7C9B6C97"/>
    <w:rsid w:val="7DF64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9"/>
    <w:qFormat/>
    <w:uiPriority w:val="1"/>
    <w:pPr>
      <w:autoSpaceDE w:val="0"/>
      <w:autoSpaceDN w:val="0"/>
      <w:spacing w:before="160"/>
      <w:ind w:left="417"/>
      <w:jc w:val="left"/>
    </w:pPr>
    <w:rPr>
      <w:rFonts w:ascii="宋体" w:hAnsi="宋体" w:eastAsia="宋体" w:cs="宋体"/>
      <w:kern w:val="0"/>
      <w:sz w:val="24"/>
      <w:szCs w:val="24"/>
      <w:lang w:val="zh-CN" w:bidi="zh-CN"/>
    </w:rPr>
  </w:style>
  <w:style w:type="paragraph" w:styleId="4">
    <w:name w:val="toc 3"/>
    <w:basedOn w:val="1"/>
    <w:next w:val="1"/>
    <w:autoRedefine/>
    <w:semiHidden/>
    <w:unhideWhenUsed/>
    <w:qFormat/>
    <w:uiPriority w:val="39"/>
    <w:pPr>
      <w:widowControl/>
      <w:spacing w:after="100" w:line="276" w:lineRule="auto"/>
      <w:ind w:left="440"/>
      <w:jc w:val="left"/>
    </w:pPr>
    <w:rPr>
      <w:kern w:val="0"/>
      <w:sz w:val="22"/>
    </w:rPr>
  </w:style>
  <w:style w:type="paragraph" w:styleId="5">
    <w:name w:val="Balloon Text"/>
    <w:basedOn w:val="1"/>
    <w:link w:val="2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semiHidden/>
    <w:unhideWhenUsed/>
    <w:qFormat/>
    <w:uiPriority w:val="39"/>
    <w:pPr>
      <w:widowControl/>
      <w:spacing w:after="100" w:line="276" w:lineRule="auto"/>
      <w:jc w:val="left"/>
    </w:pPr>
    <w:rPr>
      <w:kern w:val="0"/>
      <w:sz w:val="22"/>
    </w:rPr>
  </w:style>
  <w:style w:type="paragraph" w:styleId="9">
    <w:name w:val="toc 2"/>
    <w:basedOn w:val="1"/>
    <w:next w:val="1"/>
    <w:autoRedefine/>
    <w:semiHidden/>
    <w:unhideWhenUsed/>
    <w:qFormat/>
    <w:uiPriority w:val="39"/>
    <w:pPr>
      <w:widowControl/>
      <w:spacing w:after="100" w:line="276" w:lineRule="auto"/>
      <w:ind w:left="220"/>
      <w:jc w:val="left"/>
    </w:pPr>
    <w:rPr>
      <w:kern w:val="0"/>
      <w:sz w:val="22"/>
    </w:r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character" w:customStyle="1" w:styleId="14">
    <w:name w:val="Body text|4_"/>
    <w:basedOn w:val="11"/>
    <w:link w:val="15"/>
    <w:qFormat/>
    <w:uiPriority w:val="0"/>
    <w:rPr>
      <w:rFonts w:ascii="宋体" w:hAnsi="宋体" w:eastAsia="宋体" w:cs="宋体"/>
      <w:sz w:val="42"/>
      <w:szCs w:val="42"/>
      <w:lang w:val="zh-TW" w:eastAsia="zh-TW" w:bidi="zh-TW"/>
    </w:rPr>
  </w:style>
  <w:style w:type="paragraph" w:customStyle="1" w:styleId="15">
    <w:name w:val="Body text|4"/>
    <w:basedOn w:val="1"/>
    <w:link w:val="14"/>
    <w:qFormat/>
    <w:uiPriority w:val="0"/>
    <w:pPr>
      <w:spacing w:after="280"/>
      <w:jc w:val="left"/>
    </w:pPr>
    <w:rPr>
      <w:rFonts w:ascii="宋体" w:hAnsi="宋体" w:eastAsia="宋体" w:cs="宋体"/>
      <w:sz w:val="42"/>
      <w:szCs w:val="42"/>
      <w:lang w:val="zh-TW" w:eastAsia="zh-TW" w:bidi="zh-TW"/>
    </w:rPr>
  </w:style>
  <w:style w:type="character" w:customStyle="1" w:styleId="16">
    <w:name w:val="Heading #1|1_"/>
    <w:basedOn w:val="11"/>
    <w:link w:val="17"/>
    <w:qFormat/>
    <w:uiPriority w:val="0"/>
    <w:rPr>
      <w:rFonts w:ascii="宋体" w:hAnsi="宋体" w:eastAsia="宋体" w:cs="宋体"/>
      <w:sz w:val="52"/>
      <w:szCs w:val="52"/>
      <w:lang w:val="zh-TW" w:eastAsia="zh-TW" w:bidi="zh-TW"/>
    </w:rPr>
  </w:style>
  <w:style w:type="paragraph" w:customStyle="1" w:styleId="17">
    <w:name w:val="Heading #1|1"/>
    <w:basedOn w:val="1"/>
    <w:link w:val="16"/>
    <w:qFormat/>
    <w:uiPriority w:val="0"/>
    <w:pPr>
      <w:spacing w:after="6120"/>
      <w:jc w:val="center"/>
      <w:outlineLvl w:val="0"/>
    </w:pPr>
    <w:rPr>
      <w:rFonts w:ascii="宋体" w:hAnsi="宋体" w:eastAsia="宋体" w:cs="宋体"/>
      <w:sz w:val="52"/>
      <w:szCs w:val="52"/>
      <w:lang w:val="zh-TW" w:eastAsia="zh-TW" w:bidi="zh-TW"/>
    </w:rPr>
  </w:style>
  <w:style w:type="character" w:customStyle="1" w:styleId="18">
    <w:name w:val="Body text|5_"/>
    <w:basedOn w:val="11"/>
    <w:link w:val="19"/>
    <w:qFormat/>
    <w:uiPriority w:val="0"/>
    <w:rPr>
      <w:b/>
      <w:bCs/>
      <w:i/>
      <w:iCs/>
      <w:sz w:val="28"/>
      <w:szCs w:val="28"/>
      <w:lang w:val="zh-TW" w:eastAsia="zh-TW" w:bidi="zh-TW"/>
    </w:rPr>
  </w:style>
  <w:style w:type="paragraph" w:customStyle="1" w:styleId="19">
    <w:name w:val="Body text|5"/>
    <w:basedOn w:val="1"/>
    <w:link w:val="18"/>
    <w:qFormat/>
    <w:uiPriority w:val="0"/>
    <w:pPr>
      <w:spacing w:line="780" w:lineRule="exact"/>
      <w:jc w:val="right"/>
    </w:pPr>
    <w:rPr>
      <w:b/>
      <w:bCs/>
      <w:i/>
      <w:iCs/>
      <w:sz w:val="28"/>
      <w:szCs w:val="28"/>
      <w:lang w:val="zh-TW" w:eastAsia="zh-TW" w:bidi="zh-TW"/>
    </w:rPr>
  </w:style>
  <w:style w:type="character" w:customStyle="1" w:styleId="20">
    <w:name w:val="Body text|1_"/>
    <w:basedOn w:val="11"/>
    <w:link w:val="21"/>
    <w:qFormat/>
    <w:uiPriority w:val="0"/>
    <w:rPr>
      <w:rFonts w:ascii="宋体" w:hAnsi="宋体" w:eastAsia="宋体" w:cs="宋体"/>
      <w:sz w:val="26"/>
      <w:szCs w:val="26"/>
      <w:lang w:val="zh-TW" w:eastAsia="zh-TW" w:bidi="zh-TW"/>
    </w:rPr>
  </w:style>
  <w:style w:type="paragraph" w:customStyle="1" w:styleId="21">
    <w:name w:val="Body text|1"/>
    <w:basedOn w:val="1"/>
    <w:link w:val="20"/>
    <w:qFormat/>
    <w:uiPriority w:val="0"/>
    <w:pPr>
      <w:spacing w:line="442" w:lineRule="auto"/>
      <w:ind w:firstLine="400"/>
      <w:jc w:val="left"/>
    </w:pPr>
    <w:rPr>
      <w:rFonts w:ascii="宋体" w:hAnsi="宋体" w:eastAsia="宋体" w:cs="宋体"/>
      <w:sz w:val="26"/>
      <w:szCs w:val="26"/>
      <w:lang w:val="zh-TW" w:eastAsia="zh-TW" w:bidi="zh-TW"/>
    </w:rPr>
  </w:style>
  <w:style w:type="character" w:customStyle="1" w:styleId="22">
    <w:name w:val="Table of contents|1_"/>
    <w:basedOn w:val="11"/>
    <w:link w:val="23"/>
    <w:qFormat/>
    <w:uiPriority w:val="0"/>
    <w:rPr>
      <w:rFonts w:ascii="宋体" w:hAnsi="宋体" w:eastAsia="宋体" w:cs="宋体"/>
      <w:sz w:val="26"/>
      <w:szCs w:val="26"/>
      <w:lang w:val="zh-TW" w:eastAsia="zh-TW" w:bidi="zh-TW"/>
    </w:rPr>
  </w:style>
  <w:style w:type="paragraph" w:customStyle="1" w:styleId="23">
    <w:name w:val="Table of contents|1"/>
    <w:basedOn w:val="1"/>
    <w:link w:val="22"/>
    <w:qFormat/>
    <w:uiPriority w:val="0"/>
    <w:pPr>
      <w:spacing w:after="320"/>
      <w:ind w:firstLine="540"/>
      <w:jc w:val="left"/>
    </w:pPr>
    <w:rPr>
      <w:rFonts w:ascii="宋体" w:hAnsi="宋体" w:eastAsia="宋体" w:cs="宋体"/>
      <w:sz w:val="26"/>
      <w:szCs w:val="26"/>
      <w:lang w:val="zh-TW" w:eastAsia="zh-TW" w:bidi="zh-TW"/>
    </w:rPr>
  </w:style>
  <w:style w:type="character" w:customStyle="1" w:styleId="24">
    <w:name w:val="批注框文本 Char"/>
    <w:basedOn w:val="11"/>
    <w:link w:val="5"/>
    <w:semiHidden/>
    <w:qFormat/>
    <w:uiPriority w:val="99"/>
    <w:rPr>
      <w:sz w:val="18"/>
      <w:szCs w:val="18"/>
    </w:rPr>
  </w:style>
  <w:style w:type="character" w:customStyle="1" w:styleId="25">
    <w:name w:val="标题 1 Char"/>
    <w:basedOn w:val="11"/>
    <w:link w:val="2"/>
    <w:qFormat/>
    <w:uiPriority w:val="9"/>
    <w:rPr>
      <w:b/>
      <w:bCs/>
      <w:kern w:val="44"/>
      <w:sz w:val="44"/>
      <w:szCs w:val="44"/>
    </w:rPr>
  </w:style>
  <w:style w:type="paragraph" w:customStyle="1" w:styleId="26">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27">
    <w:name w:val="默认段落字体 Para Char Char Char Char Char Char Char"/>
    <w:basedOn w:val="1"/>
    <w:qFormat/>
    <w:uiPriority w:val="0"/>
    <w:rPr>
      <w:rFonts w:ascii="Tahoma" w:hAnsi="Tahoma" w:eastAsia="宋体" w:cs="Times New Roman"/>
      <w:sz w:val="24"/>
      <w:szCs w:val="20"/>
    </w:rPr>
  </w:style>
  <w:style w:type="paragraph" w:customStyle="1" w:styleId="28">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9">
    <w:name w:val="正文文本 Char"/>
    <w:basedOn w:val="11"/>
    <w:link w:val="3"/>
    <w:qFormat/>
    <w:uiPriority w:val="1"/>
    <w:rPr>
      <w:rFonts w:ascii="宋体" w:hAnsi="宋体" w:eastAsia="宋体" w:cs="宋体"/>
      <w:kern w:val="0"/>
      <w:sz w:val="24"/>
      <w:szCs w:val="24"/>
      <w:lang w:val="zh-CN" w:bidi="zh-CN"/>
    </w:rPr>
  </w:style>
  <w:style w:type="table" w:customStyle="1" w:styleId="30">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31">
    <w:name w:val="Table Paragraph"/>
    <w:basedOn w:val="1"/>
    <w:qFormat/>
    <w:uiPriority w:val="1"/>
    <w:pPr>
      <w:autoSpaceDE w:val="0"/>
      <w:autoSpaceDN w:val="0"/>
      <w:jc w:val="center"/>
    </w:pPr>
    <w:rPr>
      <w:rFonts w:ascii="Times New Roman" w:hAnsi="Times New Roman" w:eastAsia="Times New Roman" w:cs="Times New Roman"/>
      <w:kern w:val="0"/>
      <w:sz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23770-8C48-42B1-9537-652E5AA9856E}">
  <ds:schemaRefs/>
</ds:datastoreItem>
</file>

<file path=docProps/app.xml><?xml version="1.0" encoding="utf-8"?>
<Properties xmlns="http://schemas.openxmlformats.org/officeDocument/2006/extended-properties" xmlns:vt="http://schemas.openxmlformats.org/officeDocument/2006/docPropsVTypes">
  <Template>Normal</Template>
  <Pages>14</Pages>
  <Words>6919</Words>
  <Characters>7222</Characters>
  <Lines>52</Lines>
  <Paragraphs>14</Paragraphs>
  <TotalTime>1641</TotalTime>
  <ScaleCrop>false</ScaleCrop>
  <LinksUpToDate>false</LinksUpToDate>
  <CharactersWithSpaces>7231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2020-04-29T04:44:00Z</dcterms:created>
  <dc:creator>th</dc:creator>
  <cp:lastModifiedBy>Administrator</cp:lastModifiedBy>
  <cp:lastPrinted>2020-09-22T02:08:00Z</cp:lastPrinted>
  <dcterms:modified xsi:type="dcterms:W3CDTF">2025-05-08T09:51:10Z</dcterms:modified>
  <cp:revision>405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eyJoZGlkIjoiOTAzNjIyNDk5ODI4Yzc2MGMyYmMyNWZhNzhiMWY3YTcifQ==</vt:lpwstr>
  </property>
  <property fmtid="{D5CDD505-2E9C-101B-9397-08002B2CF9AE}" pid="3" name="KSOProductBuildVer">
    <vt:lpwstr>2052-12.1.0.20784</vt:lpwstr>
  </property>
  <property fmtid="{D5CDD505-2E9C-101B-9397-08002B2CF9AE}" pid="4" name="ICV">
    <vt:lpwstr>2F69F53476074BFE8EA10D04173EF596_13</vt:lpwstr>
  </property>
</Properties>
</file>