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620" w:type="dxa"/>
        <w:tblInd w:w="93" w:type="dxa"/>
        <w:tblLayout w:type="fixed"/>
        <w:tblCellMar>
          <w:top w:w="0" w:type="dxa"/>
          <w:left w:w="108" w:type="dxa"/>
          <w:bottom w:w="0" w:type="dxa"/>
          <w:right w:w="108" w:type="dxa"/>
        </w:tblCellMar>
      </w:tblPr>
      <w:tblGrid>
        <w:gridCol w:w="2283"/>
        <w:gridCol w:w="177"/>
        <w:gridCol w:w="6458"/>
        <w:gridCol w:w="702"/>
      </w:tblGrid>
      <w:tr>
        <w:tblPrEx>
          <w:tblCellMar>
            <w:top w:w="0" w:type="dxa"/>
            <w:left w:w="108" w:type="dxa"/>
            <w:bottom w:w="0" w:type="dxa"/>
            <w:right w:w="108" w:type="dxa"/>
          </w:tblCellMar>
        </w:tblPrEx>
        <w:trPr>
          <w:gridAfter w:val="2"/>
          <w:wAfter w:w="7160" w:type="dxa"/>
          <w:trHeight w:val="270" w:hRule="atLeast"/>
        </w:trPr>
        <w:tc>
          <w:tcPr>
            <w:tcW w:w="2460" w:type="dxa"/>
            <w:gridSpan w:val="2"/>
            <w:tcBorders>
              <w:top w:val="nil"/>
              <w:left w:val="nil"/>
              <w:bottom w:val="nil"/>
              <w:right w:val="nil"/>
            </w:tcBorders>
            <w:shd w:val="clear" w:color="auto" w:fill="auto"/>
            <w:vAlign w:val="center"/>
          </w:tcPr>
          <w:p>
            <w:pPr>
              <w:widowControl/>
              <w:jc w:val="left"/>
              <w:rPr>
                <w:rFonts w:ascii="方正黑体简体" w:hAnsi="宋体" w:eastAsia="方正黑体简体" w:cs="宋体"/>
                <w:kern w:val="0"/>
                <w:sz w:val="34"/>
                <w:szCs w:val="34"/>
              </w:rPr>
            </w:pPr>
            <w:r>
              <w:rPr>
                <w:rFonts w:ascii="Calibri" w:hAnsi="Calibri" w:eastAsia="方正仿宋简体" w:cs="Times New Roman"/>
                <w:sz w:val="34"/>
                <w:szCs w:val="34"/>
              </w:rPr>
              <w:br w:type="page"/>
            </w:r>
          </w:p>
        </w:tc>
      </w:tr>
      <w:tr>
        <w:tblPrEx>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shd w:val="clear" w:color="auto" w:fill="auto"/>
            <w:vAlign w:val="center"/>
          </w:tcPr>
          <w:p>
            <w:pPr>
              <w:widowControl/>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shd w:val="clear" w:color="auto" w:fill="auto"/>
            <w:vAlign w:val="center"/>
          </w:tcPr>
          <w:p>
            <w:pPr>
              <w:widowControl/>
              <w:jc w:val="center"/>
              <w:rPr>
                <w:rFonts w:ascii="方正小标宋简体" w:hAnsi="宋体" w:eastAsia="方正小标宋简体" w:cs="宋体"/>
                <w:kern w:val="0"/>
                <w:sz w:val="30"/>
                <w:szCs w:val="30"/>
                <w:u w:val="single"/>
              </w:rPr>
            </w:pPr>
            <w:r>
              <w:rPr>
                <w:rFonts w:hint="eastAsia" w:ascii="方正小标宋简体" w:hAnsi="宋体" w:eastAsia="方正小标宋简体" w:cs="宋体"/>
                <w:kern w:val="0"/>
                <w:sz w:val="30"/>
                <w:szCs w:val="30"/>
                <w:u w:val="single"/>
              </w:rPr>
              <w:t>（</w:t>
            </w:r>
            <w:r>
              <w:rPr>
                <w:rFonts w:hint="eastAsia" w:ascii="方正小标宋简体" w:hAnsi="宋体" w:eastAsia="方正小标宋简体" w:cs="宋体"/>
                <w:kern w:val="0"/>
                <w:sz w:val="30"/>
                <w:szCs w:val="30"/>
                <w:u w:val="single"/>
                <w:lang w:eastAsia="zh-CN"/>
              </w:rPr>
              <w:t>宁河</w:t>
            </w:r>
            <w:r>
              <w:rPr>
                <w:rFonts w:hint="eastAsia" w:ascii="方正小标宋简体" w:hAnsi="宋体" w:eastAsia="方正小标宋简体" w:cs="宋体"/>
                <w:kern w:val="0"/>
                <w:sz w:val="30"/>
                <w:szCs w:val="30"/>
                <w:u w:val="single"/>
              </w:rPr>
              <w:t>区劳动人事争议仲裁院）</w:t>
            </w:r>
            <w:r>
              <w:rPr>
                <w:rFonts w:hint="eastAsia" w:ascii="方正小标宋简体" w:hAnsi="宋体" w:eastAsia="方正小标宋简体" w:cs="宋体"/>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序号</w:t>
            </w:r>
          </w:p>
        </w:tc>
        <w:tc>
          <w:tcPr>
            <w:tcW w:w="6635" w:type="dxa"/>
            <w:gridSpan w:val="2"/>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ascii="方正仿宋简体" w:hAnsi="宋体" w:eastAsia="方正仿宋简体" w:cs="宋体"/>
                <w:kern w:val="0"/>
                <w:sz w:val="32"/>
                <w:szCs w:val="32"/>
              </w:rPr>
            </w:pPr>
            <w:r>
              <w:rPr>
                <w:rFonts w:hint="eastAsia" w:ascii="方正仿宋简体" w:hAnsi="宋体" w:eastAsia="方正仿宋简体" w:cs="宋体"/>
                <w:kern w:val="0"/>
                <w:sz w:val="32"/>
                <w:szCs w:val="32"/>
              </w:rPr>
              <w:t>　1.1</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名称</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ascii="仿宋_GB2312" w:hAnsi="宋体" w:eastAsia="仿宋_GB2312" w:cs="宋体"/>
                <w:kern w:val="0"/>
                <w:sz w:val="30"/>
                <w:szCs w:val="30"/>
              </w:rPr>
            </w:pPr>
            <w:r>
              <w:rPr>
                <w:rFonts w:hint="eastAsia" w:ascii="仿宋_GB2312" w:hAnsi="宋体" w:eastAsia="仿宋_GB2312" w:cs="宋体"/>
                <w:kern w:val="0"/>
                <w:sz w:val="30"/>
                <w:szCs w:val="30"/>
              </w:rPr>
              <w:t>劳动人事争议案件处理</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法定依据</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 </w:t>
            </w:r>
            <w:r>
              <w:rPr>
                <w:rFonts w:hint="eastAsia" w:ascii="仿宋_GB2312" w:hAnsi="宋体" w:eastAsia="仿宋_GB2312" w:cs="宋体"/>
                <w:bCs/>
                <w:kern w:val="0"/>
                <w:sz w:val="30"/>
                <w:szCs w:val="30"/>
              </w:rPr>
              <w:t>中华人民共和国劳动争议调解仲裁法》第三十六条至四十条，第四十三条至四十八条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开庭和裁决</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 </w:t>
            </w:r>
            <w:r>
              <w:rPr>
                <w:rFonts w:hint="eastAsia" w:ascii="仿宋_GB2312" w:hAnsi="宋体" w:eastAsia="仿宋_GB2312" w:cs="宋体"/>
                <w:bCs/>
                <w:kern w:val="0"/>
                <w:sz w:val="30"/>
                <w:szCs w:val="30"/>
              </w:rPr>
              <w:t>中华人民共和国劳动争议调解仲裁法》第四十一条、四十二条，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调解</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bCs/>
                <w:kern w:val="0"/>
                <w:sz w:val="30"/>
                <w:szCs w:val="30"/>
              </w:rPr>
              <w:t>3、《</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）第三十九条至五十五条，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开庭和裁决</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bCs/>
                <w:kern w:val="0"/>
                <w:sz w:val="30"/>
                <w:szCs w:val="30"/>
              </w:rPr>
            </w:pPr>
            <w:r>
              <w:rPr>
                <w:rFonts w:hint="eastAsia" w:ascii="仿宋_GB2312" w:hAnsi="宋体" w:eastAsia="仿宋_GB2312" w:cs="宋体"/>
                <w:bCs/>
                <w:kern w:val="0"/>
                <w:sz w:val="30"/>
                <w:szCs w:val="30"/>
              </w:rPr>
              <w:t>4、《</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）第五十六条至六十一条，关于简易程序的规定。</w:t>
            </w:r>
          </w:p>
          <w:p>
            <w:pPr>
              <w:widowControl/>
              <w:snapToGrid w:val="0"/>
              <w:jc w:val="left"/>
              <w:rPr>
                <w:rFonts w:ascii="仿宋_GB2312" w:hAnsi="宋体" w:eastAsia="仿宋_GB2312" w:cs="宋体"/>
                <w:bCs/>
                <w:kern w:val="0"/>
                <w:sz w:val="30"/>
                <w:szCs w:val="30"/>
              </w:rPr>
            </w:pPr>
            <w:r>
              <w:rPr>
                <w:rFonts w:hint="eastAsia" w:ascii="仿宋_GB2312" w:hAnsi="宋体" w:eastAsia="仿宋_GB2312" w:cs="宋体"/>
                <w:bCs/>
                <w:kern w:val="0"/>
                <w:sz w:val="30"/>
                <w:szCs w:val="30"/>
              </w:rPr>
              <w:t>5、《</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）第六十二条至六十七条，</w:t>
            </w:r>
            <w:r>
              <w:rPr>
                <w:rFonts w:hint="eastAsia" w:ascii="仿宋_GB2312" w:hAnsi="宋体" w:eastAsia="仿宋_GB2312" w:cs="宋体"/>
                <w:kern w:val="0"/>
                <w:sz w:val="30"/>
                <w:szCs w:val="30"/>
              </w:rPr>
              <w:t>关于</w:t>
            </w:r>
            <w:r>
              <w:rPr>
                <w:rFonts w:ascii="仿宋_GB2312" w:hAnsi="宋体" w:eastAsia="仿宋_GB2312" w:cs="宋体"/>
                <w:bCs/>
                <w:kern w:val="0"/>
                <w:sz w:val="30"/>
                <w:szCs w:val="30"/>
              </w:rPr>
              <w:t>集体劳动人事争议处理</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bCs/>
                <w:kern w:val="0"/>
                <w:sz w:val="30"/>
                <w:szCs w:val="30"/>
              </w:rPr>
              <w:t>6、《</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）第六十八条至七十九条，关于</w:t>
            </w:r>
            <w:r>
              <w:rPr>
                <w:rFonts w:ascii="仿宋_GB2312" w:hAnsi="宋体" w:eastAsia="仿宋_GB2312" w:cs="宋体"/>
                <w:bCs/>
                <w:kern w:val="0"/>
                <w:sz w:val="30"/>
                <w:szCs w:val="30"/>
              </w:rPr>
              <w:t>调解程序</w:t>
            </w:r>
            <w:r>
              <w:rPr>
                <w:rFonts w:hint="eastAsia" w:ascii="仿宋_GB2312" w:hAnsi="宋体" w:eastAsia="仿宋_GB2312" w:cs="宋体"/>
                <w:bCs/>
                <w:kern w:val="0"/>
                <w:sz w:val="30"/>
                <w:szCs w:val="30"/>
              </w:rPr>
              <w:t>的规定。</w:t>
            </w:r>
          </w:p>
        </w:tc>
      </w:tr>
      <w:tr>
        <w:tblPrEx>
          <w:tblCellMar>
            <w:top w:w="0" w:type="dxa"/>
            <w:left w:w="108" w:type="dxa"/>
            <w:bottom w:w="0" w:type="dxa"/>
            <w:right w:w="108" w:type="dxa"/>
          </w:tblCellMar>
        </w:tblPrEx>
        <w:trPr>
          <w:gridAfter w:val="1"/>
          <w:wAfter w:w="702" w:type="dxa"/>
          <w:trHeight w:val="11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实施机构</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　</w:t>
            </w:r>
            <w:r>
              <w:rPr>
                <w:rFonts w:hint="eastAsia" w:ascii="仿宋_GB2312" w:hAnsi="宋体" w:eastAsia="仿宋_GB2312" w:cs="宋体"/>
                <w:kern w:val="0"/>
                <w:sz w:val="30"/>
                <w:szCs w:val="30"/>
                <w:lang w:eastAsia="zh-CN"/>
              </w:rPr>
              <w:t>宁河</w:t>
            </w:r>
            <w:r>
              <w:rPr>
                <w:rFonts w:hint="eastAsia" w:ascii="仿宋_GB2312" w:hAnsi="宋体" w:eastAsia="仿宋_GB2312" w:cs="宋体"/>
                <w:kern w:val="0"/>
                <w:sz w:val="30"/>
                <w:szCs w:val="30"/>
              </w:rPr>
              <w:t>区劳动人事争议仲裁院（仲裁庭）</w:t>
            </w:r>
          </w:p>
        </w:tc>
      </w:tr>
      <w:tr>
        <w:tblPrEx>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职责边界</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方正仿宋简体" w:hAnsi="宋体" w:eastAsia="方正仿宋简体" w:cs="宋体"/>
                <w:kern w:val="0"/>
                <w:sz w:val="30"/>
                <w:szCs w:val="30"/>
              </w:rPr>
            </w:pPr>
            <w:r>
              <w:rPr>
                <w:rFonts w:hint="eastAsia" w:ascii="方正仿宋简体" w:hAnsi="宋体" w:eastAsia="方正仿宋简体" w:cs="宋体"/>
                <w:kern w:val="0"/>
                <w:sz w:val="30"/>
                <w:szCs w:val="30"/>
              </w:rPr>
              <w:t>　</w:t>
            </w:r>
            <w:r>
              <w:rPr>
                <w:rFonts w:hint="eastAsia" w:ascii="仿宋_GB2312" w:hAnsi="宋体" w:eastAsia="仿宋_GB2312" w:cs="宋体"/>
                <w:kern w:val="0"/>
                <w:sz w:val="30"/>
                <w:szCs w:val="30"/>
                <w:lang w:eastAsia="zh-CN"/>
              </w:rPr>
              <w:t>宁河</w:t>
            </w:r>
            <w:r>
              <w:rPr>
                <w:rFonts w:hint="eastAsia" w:ascii="仿宋_GB2312" w:hAnsi="宋体" w:eastAsia="仿宋_GB2312" w:cs="宋体"/>
                <w:kern w:val="0"/>
                <w:sz w:val="30"/>
                <w:szCs w:val="30"/>
              </w:rPr>
              <w:t>区劳动人事争议仲裁院仲裁庭独立承担调处劳动人事争议案件职责。</w:t>
            </w:r>
          </w:p>
          <w:p>
            <w:pPr>
              <w:widowControl/>
              <w:snapToGrid w:val="0"/>
              <w:jc w:val="left"/>
              <w:rPr>
                <w:rFonts w:ascii="方正仿宋简体" w:hAnsi="宋体" w:eastAsia="方正仿宋简体" w:cs="宋体"/>
                <w:kern w:val="0"/>
                <w:sz w:val="30"/>
                <w:szCs w:val="30"/>
              </w:rPr>
            </w:pPr>
          </w:p>
        </w:tc>
      </w:tr>
      <w:tr>
        <w:tblPrEx>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运行流程</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开庭—答辩—质证—庭审调查—辩论—调解—结案</w:t>
            </w:r>
          </w:p>
          <w:p>
            <w:pPr>
              <w:widowControl/>
              <w:snapToGrid w:val="0"/>
              <w:jc w:val="left"/>
              <w:rPr>
                <w:rFonts w:ascii="方正仿宋简体" w:hAnsi="宋体" w:eastAsia="方正仿宋简体" w:cs="宋体"/>
                <w:kern w:val="0"/>
                <w:sz w:val="30"/>
                <w:szCs w:val="30"/>
              </w:rPr>
            </w:pPr>
            <w:r>
              <w:rPr>
                <w:rFonts w:hint="eastAsia" w:ascii="仿宋_GB2312" w:hAnsi="宋体" w:eastAsia="仿宋_GB2312" w:cs="宋体"/>
                <w:kern w:val="0"/>
                <w:sz w:val="30"/>
                <w:szCs w:val="30"/>
              </w:rPr>
              <w:t>开庭—答辩—质证—庭审调查—辩论—调解不成—裁决—结案</w:t>
            </w:r>
          </w:p>
        </w:tc>
      </w:tr>
      <w:tr>
        <w:tblPrEx>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运行要件</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1、仲裁案件的审理核心在于证据的举证质证。</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2、关于证据的提供。当事人对自己提出的主张有责任提供证据。与争议事项有关的证据属于用人单位掌握管理的，用人单位应当提供；用人单位不提供的，应当承担不利后果。</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3、关于举证期限。承担举证责任的当事人应当在仲裁委员会指定的期限内提供有关证据。当事人在该期限内提供证据确有困难的，可以向仲裁委员会申请延长期限，仲裁委员会根据当事人的申请适当延长。当事人逾期提供证据的，仲裁委员会应当责令其说明理由；拒不说明理由或者理由不成立的，仲裁委员会可以根据不同情形不予采纳该证据，或者采纳该证据但予以训诫。</w:t>
            </w:r>
          </w:p>
        </w:tc>
      </w:tr>
      <w:tr>
        <w:tblPrEx>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责任事项</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仲裁员有下列规定情形的，仲裁委员会视情节轻重，给予批评教育、解聘等处理；被解聘的，五年内不得再次被聘为仲裁员。仲裁员所在单位根据国家有关规定对其给予处分；构成犯罪的，依法追究刑事责任：</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1、徇私枉法，偏袒一方当事人；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2、滥用职权，侵犯当事人合法权益；</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3、利用职权为自己或者他人谋取私利；</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4、隐瞒证据或者伪造证据；</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5、私自会见当事人及其代理人，接受当事人及其代理人的请客送礼；</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6、故意拖延办案、玩忽职守；</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7、泄露案件涉及的国家秘密、商业秘密和个人隐私或者擅自透露案件处理情况；</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8、在受聘期间担任所在仲裁委员会受理案件的代理人；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9、其他违法违纪的行为。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二、记录人员等办案辅助人员应当认真履行职责，严守工作纪律，发生玩忽职守、偏袒一方当事人、泄露案件涉及的国家秘密、商业秘密和个人隐私或者擅自透露案件处理情况等行为的，参照仲裁员处理办法追究责任。</w:t>
            </w:r>
          </w:p>
          <w:p>
            <w:pPr>
              <w:widowControl/>
              <w:snapToGrid w:val="0"/>
              <w:jc w:val="left"/>
              <w:rPr>
                <w:rFonts w:ascii="方正仿宋简体" w:hAnsi="宋体" w:eastAsia="方正仿宋简体" w:cs="宋体"/>
                <w:kern w:val="0"/>
                <w:sz w:val="32"/>
                <w:szCs w:val="32"/>
              </w:rPr>
            </w:pPr>
          </w:p>
        </w:tc>
      </w:tr>
      <w:tr>
        <w:tblPrEx>
          <w:tblCellMar>
            <w:top w:w="0" w:type="dxa"/>
            <w:left w:w="108" w:type="dxa"/>
            <w:bottom w:w="0" w:type="dxa"/>
            <w:right w:w="108" w:type="dxa"/>
          </w:tblCellMar>
        </w:tblPrEx>
        <w:trPr>
          <w:gridAfter w:val="1"/>
          <w:wAfter w:w="702" w:type="dxa"/>
          <w:trHeight w:val="1024"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监督方式</w:t>
            </w:r>
          </w:p>
        </w:tc>
        <w:tc>
          <w:tcPr>
            <w:tcW w:w="663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pPr>
              <w:widowControl/>
              <w:jc w:val="left"/>
              <w:rPr>
                <w:rFonts w:hint="eastAsia" w:ascii="方正仿宋简体" w:hAnsi="宋体" w:eastAsia="方正仿宋简体" w:cs="宋体"/>
                <w:kern w:val="0"/>
                <w:sz w:val="32"/>
                <w:szCs w:val="32"/>
              </w:rPr>
            </w:pPr>
            <w:r>
              <w:rPr>
                <w:rFonts w:hint="eastAsia" w:ascii="方正仿宋简体" w:hAnsi="宋体" w:eastAsia="方正仿宋简体" w:cs="宋体"/>
                <w:kern w:val="0"/>
                <w:sz w:val="32"/>
                <w:szCs w:val="32"/>
              </w:rPr>
              <w:t>地址：天津市宁河区经济开发区五纬路1-1号</w:t>
            </w:r>
          </w:p>
          <w:p>
            <w:pPr>
              <w:widowControl/>
              <w:jc w:val="left"/>
              <w:rPr>
                <w:rFonts w:hint="eastAsia" w:ascii="方正仿宋简体" w:hAnsi="宋体" w:eastAsia="方正仿宋简体" w:cs="宋体"/>
                <w:kern w:val="0"/>
                <w:sz w:val="32"/>
                <w:szCs w:val="32"/>
                <w:lang w:val="en-US" w:eastAsia="zh-CN"/>
              </w:rPr>
            </w:pPr>
            <w:r>
              <w:rPr>
                <w:rFonts w:hint="eastAsia" w:ascii="方正仿宋简体" w:hAnsi="宋体" w:eastAsia="方正仿宋简体" w:cs="宋体"/>
                <w:kern w:val="0"/>
                <w:sz w:val="32"/>
                <w:szCs w:val="32"/>
              </w:rPr>
              <w:t>电话：</w:t>
            </w:r>
            <w:r>
              <w:rPr>
                <w:rFonts w:hint="eastAsia" w:ascii="方正仿宋简体" w:hAnsi="宋体" w:eastAsia="方正仿宋简体" w:cs="宋体"/>
                <w:kern w:val="0"/>
                <w:sz w:val="32"/>
                <w:szCs w:val="32"/>
                <w:lang w:val="en-US" w:eastAsia="zh-CN"/>
              </w:rPr>
              <w:t>022-69592447</w:t>
            </w:r>
          </w:p>
          <w:p>
            <w:pPr>
              <w:widowControl/>
              <w:jc w:val="left"/>
              <w:rPr>
                <w:rFonts w:hint="eastAsia" w:ascii="方正仿宋简体" w:hAnsi="宋体" w:eastAsia="方正仿宋简体" w:cs="宋体"/>
                <w:kern w:val="0"/>
                <w:sz w:val="32"/>
                <w:szCs w:val="32"/>
                <w:lang w:val="en-US" w:eastAsia="zh-CN"/>
              </w:rPr>
            </w:pPr>
            <w:r>
              <w:rPr>
                <w:rFonts w:hint="eastAsia" w:ascii="方正仿宋简体" w:hAnsi="宋体" w:eastAsia="方正仿宋简体" w:cs="宋体"/>
                <w:kern w:val="0"/>
                <w:sz w:val="32"/>
                <w:szCs w:val="32"/>
                <w:lang w:val="en-US" w:eastAsia="zh-CN"/>
              </w:rPr>
              <w:t>邮箱：</w:t>
            </w:r>
            <w:r>
              <w:rPr>
                <w:rFonts w:hint="eastAsia" w:ascii="方正仿宋简体" w:hAnsi="宋体" w:eastAsia="方正仿宋简体" w:cs="宋体"/>
                <w:kern w:val="0"/>
                <w:sz w:val="32"/>
                <w:szCs w:val="32"/>
                <w:lang w:val="en-US" w:eastAsia="zh-CN"/>
              </w:rPr>
              <w:fldChar w:fldCharType="begin"/>
            </w:r>
            <w:r>
              <w:rPr>
                <w:rFonts w:hint="eastAsia" w:ascii="方正仿宋简体" w:hAnsi="宋体" w:eastAsia="方正仿宋简体" w:cs="宋体"/>
                <w:kern w:val="0"/>
                <w:sz w:val="32"/>
                <w:szCs w:val="32"/>
                <w:lang w:val="en-US" w:eastAsia="zh-CN"/>
              </w:rPr>
              <w:instrText xml:space="preserve"> HYPERLINK "mailto:nhqrlsbj14@tj.gov.cn" </w:instrText>
            </w:r>
            <w:r>
              <w:rPr>
                <w:rFonts w:hint="eastAsia" w:ascii="方正仿宋简体" w:hAnsi="宋体" w:eastAsia="方正仿宋简体" w:cs="宋体"/>
                <w:kern w:val="0"/>
                <w:sz w:val="32"/>
                <w:szCs w:val="32"/>
                <w:lang w:val="en-US" w:eastAsia="zh-CN"/>
              </w:rPr>
              <w:fldChar w:fldCharType="separate"/>
            </w:r>
            <w:r>
              <w:rPr>
                <w:rStyle w:val="6"/>
                <w:rFonts w:hint="eastAsia" w:ascii="方正仿宋简体" w:hAnsi="宋体" w:eastAsia="方正仿宋简体" w:cs="宋体"/>
                <w:kern w:val="0"/>
                <w:sz w:val="32"/>
                <w:szCs w:val="32"/>
                <w:lang w:val="en-US" w:eastAsia="zh-CN"/>
              </w:rPr>
              <w:t>nhqrlsbj14@tj.gov.cn</w:t>
            </w:r>
            <w:r>
              <w:rPr>
                <w:rFonts w:hint="eastAsia" w:ascii="方正仿宋简体" w:hAnsi="宋体" w:eastAsia="方正仿宋简体" w:cs="宋体"/>
                <w:kern w:val="0"/>
                <w:sz w:val="32"/>
                <w:szCs w:val="32"/>
                <w:lang w:val="en-US" w:eastAsia="zh-CN"/>
              </w:rPr>
              <w:fldChar w:fldCharType="end"/>
            </w:r>
          </w:p>
          <w:p>
            <w:pPr>
              <w:widowControl/>
              <w:jc w:val="left"/>
              <w:rPr>
                <w:rFonts w:hint="default" w:ascii="方正仿宋简体" w:hAnsi="宋体" w:eastAsia="方正仿宋简体" w:cs="宋体"/>
                <w:kern w:val="0"/>
                <w:sz w:val="32"/>
                <w:szCs w:val="32"/>
                <w:lang w:val="en-US" w:eastAsia="zh-CN"/>
              </w:rPr>
            </w:pPr>
            <w:r>
              <w:rPr>
                <w:rFonts w:hint="eastAsia" w:ascii="方正仿宋简体" w:hAnsi="宋体" w:eastAsia="方正仿宋简体" w:cs="宋体"/>
                <w:kern w:val="0"/>
                <w:sz w:val="32"/>
                <w:szCs w:val="32"/>
                <w:lang w:val="en-US" w:eastAsia="zh-CN"/>
              </w:rPr>
              <w:t>邮编：301500</w:t>
            </w:r>
          </w:p>
        </w:tc>
      </w:tr>
    </w:tbl>
    <w:p/>
    <w:p/>
    <w:p/>
    <w:p/>
    <w:p/>
    <w:p/>
    <w:p/>
    <w:p/>
    <w:p/>
    <w:p/>
    <w:p/>
    <w:p/>
    <w:p/>
    <w:p/>
    <w:p/>
    <w:p/>
    <w:p/>
    <w:p/>
    <w:p/>
    <w:p/>
    <w:p/>
    <w:p/>
    <w:p/>
    <w:p/>
    <w:p/>
    <w:p/>
    <w:p/>
    <w:p/>
    <w:p/>
    <w:p/>
    <w:p/>
    <w:tbl>
      <w:tblPr>
        <w:tblStyle w:val="4"/>
        <w:tblW w:w="0" w:type="auto"/>
        <w:tblInd w:w="93" w:type="dxa"/>
        <w:tblLayout w:type="fixed"/>
        <w:tblCellMar>
          <w:top w:w="0" w:type="dxa"/>
          <w:left w:w="108" w:type="dxa"/>
          <w:bottom w:w="0" w:type="dxa"/>
          <w:right w:w="108" w:type="dxa"/>
        </w:tblCellMar>
      </w:tblPr>
      <w:tblGrid>
        <w:gridCol w:w="2283"/>
        <w:gridCol w:w="177"/>
        <w:gridCol w:w="6458"/>
        <w:gridCol w:w="702"/>
      </w:tblGrid>
      <w:tr>
        <w:tblPrEx>
          <w:tblCellMar>
            <w:top w:w="0" w:type="dxa"/>
            <w:left w:w="108" w:type="dxa"/>
            <w:bottom w:w="0" w:type="dxa"/>
            <w:right w:w="108" w:type="dxa"/>
          </w:tblCellMar>
        </w:tblPrEx>
        <w:trPr>
          <w:trHeight w:val="270" w:hRule="atLeast"/>
        </w:trPr>
        <w:tc>
          <w:tcPr>
            <w:tcW w:w="2460" w:type="dxa"/>
            <w:gridSpan w:val="2"/>
            <w:tcBorders>
              <w:top w:val="nil"/>
              <w:left w:val="nil"/>
              <w:bottom w:val="nil"/>
              <w:right w:val="nil"/>
            </w:tcBorders>
            <w:noWrap w:val="0"/>
            <w:vAlign w:val="center"/>
          </w:tcPr>
          <w:p>
            <w:pPr>
              <w:widowControl/>
              <w:jc w:val="left"/>
              <w:rPr>
                <w:rFonts w:ascii="方正黑体简体" w:hAnsi="宋体" w:eastAsia="方正黑体简体" w:cs="宋体"/>
                <w:kern w:val="0"/>
                <w:sz w:val="34"/>
                <w:szCs w:val="34"/>
              </w:rPr>
            </w:pPr>
          </w:p>
        </w:tc>
        <w:tc>
          <w:tcPr>
            <w:tcW w:w="7160" w:type="dxa"/>
            <w:gridSpan w:val="2"/>
            <w:tcBorders>
              <w:top w:val="nil"/>
              <w:left w:val="nil"/>
              <w:bottom w:val="nil"/>
              <w:right w:val="nil"/>
            </w:tcBorders>
            <w:noWrap w:val="0"/>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noWrap w:val="0"/>
            <w:vAlign w:val="center"/>
          </w:tcPr>
          <w:p>
            <w:pPr>
              <w:widowControl/>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noWrap w:val="0"/>
            <w:vAlign w:val="center"/>
          </w:tcPr>
          <w:p>
            <w:pPr>
              <w:widowControl/>
              <w:jc w:val="center"/>
              <w:rPr>
                <w:rFonts w:hint="eastAsia" w:ascii="方正小标宋简体" w:hAnsi="宋体" w:eastAsia="方正小标宋简体" w:cs="宋体"/>
                <w:kern w:val="0"/>
                <w:sz w:val="30"/>
                <w:szCs w:val="30"/>
                <w:u w:val="single"/>
              </w:rPr>
            </w:pPr>
            <w:r>
              <w:rPr>
                <w:rFonts w:hint="eastAsia" w:ascii="方正小标宋简体" w:hAnsi="宋体" w:eastAsia="方正小标宋简体" w:cs="宋体"/>
                <w:kern w:val="0"/>
                <w:sz w:val="30"/>
                <w:szCs w:val="30"/>
                <w:u w:val="single"/>
              </w:rPr>
              <w:t>（</w:t>
            </w:r>
            <w:r>
              <w:rPr>
                <w:rFonts w:hint="eastAsia" w:ascii="方正小标宋简体" w:hAnsi="宋体" w:eastAsia="方正小标宋简体" w:cs="宋体"/>
                <w:kern w:val="0"/>
                <w:sz w:val="30"/>
                <w:szCs w:val="30"/>
                <w:u w:val="single"/>
                <w:lang w:eastAsia="zh-CN"/>
              </w:rPr>
              <w:t>宁河</w:t>
            </w:r>
            <w:r>
              <w:rPr>
                <w:rFonts w:hint="eastAsia" w:ascii="方正小标宋简体" w:hAnsi="宋体" w:eastAsia="方正小标宋简体" w:cs="宋体"/>
                <w:kern w:val="0"/>
                <w:sz w:val="30"/>
                <w:szCs w:val="30"/>
                <w:u w:val="single"/>
              </w:rPr>
              <w:t>区劳动人事争议仲裁院）</w:t>
            </w:r>
            <w:r>
              <w:rPr>
                <w:rFonts w:hint="eastAsia" w:ascii="方正小标宋简体" w:hAnsi="宋体" w:eastAsia="方正小标宋简体" w:cs="宋体"/>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noWrap w:val="0"/>
            <w:vAlign w:val="center"/>
          </w:tcPr>
          <w:p>
            <w:pPr>
              <w:widowControl/>
              <w:jc w:val="center"/>
              <w:rPr>
                <w:rFonts w:ascii="黑体" w:hAnsi="黑体" w:eastAsia="黑体" w:cs="宋体"/>
                <w:kern w:val="0"/>
                <w:sz w:val="32"/>
                <w:szCs w:val="32"/>
              </w:rPr>
            </w:pPr>
            <w:r>
              <w:rPr>
                <w:rFonts w:hint="eastAsia" w:ascii="黑体" w:hAnsi="黑体" w:eastAsia="黑体" w:cs="宋体"/>
                <w:kern w:val="0"/>
                <w:sz w:val="32"/>
                <w:szCs w:val="32"/>
              </w:rPr>
              <w:t>序号</w:t>
            </w:r>
          </w:p>
        </w:tc>
        <w:tc>
          <w:tcPr>
            <w:tcW w:w="6635" w:type="dxa"/>
            <w:gridSpan w:val="2"/>
            <w:tcBorders>
              <w:top w:val="single" w:color="auto" w:sz="4" w:space="0"/>
              <w:left w:val="single" w:color="auto" w:sz="6" w:space="0"/>
              <w:bottom w:val="single" w:color="auto" w:sz="6" w:space="0"/>
              <w:right w:val="single" w:color="auto" w:sz="4" w:space="0"/>
            </w:tcBorders>
            <w:noWrap w:val="0"/>
            <w:vAlign w:val="center"/>
          </w:tcPr>
          <w:p>
            <w:pPr>
              <w:widowControl/>
              <w:jc w:val="left"/>
              <w:rPr>
                <w:rFonts w:ascii="仿宋" w:hAnsi="仿宋" w:eastAsia="仿宋" w:cs="宋体"/>
                <w:kern w:val="0"/>
                <w:sz w:val="32"/>
                <w:szCs w:val="32"/>
              </w:rPr>
            </w:pPr>
            <w:r>
              <w:rPr>
                <w:rFonts w:hint="eastAsia" w:ascii="方正仿宋简体" w:hAnsi="宋体" w:eastAsia="方正仿宋简体" w:cs="宋体"/>
                <w:kern w:val="0"/>
                <w:sz w:val="32"/>
                <w:szCs w:val="32"/>
              </w:rPr>
              <w:t>　1.2</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名称</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jc w:val="left"/>
              <w:rPr>
                <w:rFonts w:hint="eastAsia" w:ascii="仿宋_GB2312" w:hAnsi="仿宋" w:eastAsia="仿宋_GB2312" w:cs="宋体"/>
                <w:kern w:val="0"/>
                <w:sz w:val="24"/>
              </w:rPr>
            </w:pPr>
            <w:r>
              <w:rPr>
                <w:rFonts w:hint="eastAsia" w:ascii="仿宋_GB2312" w:hAnsi="宋体" w:eastAsia="仿宋_GB2312" w:cs="宋体"/>
                <w:kern w:val="0"/>
                <w:sz w:val="32"/>
                <w:szCs w:val="32"/>
              </w:rPr>
              <w:t>　</w:t>
            </w:r>
            <w:r>
              <w:rPr>
                <w:rFonts w:hint="eastAsia" w:ascii="仿宋_GB2312" w:hAnsi="仿宋" w:eastAsia="仿宋_GB2312" w:cs="宋体"/>
                <w:kern w:val="0"/>
                <w:sz w:val="24"/>
              </w:rPr>
              <w:t>劳动人事争议仲裁案件立案</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法定依据</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1.《中华人民共和国劳动争议调解仲裁法》</w:t>
            </w:r>
            <w:r>
              <w:rPr>
                <w:rFonts w:hint="eastAsia" w:ascii="仿宋_GB2312" w:hAnsi="仿宋" w:eastAsia="仿宋_GB2312" w:cs="宋体"/>
                <w:bCs/>
                <w:kern w:val="0"/>
                <w:sz w:val="24"/>
              </w:rPr>
              <w:t>第二条</w:t>
            </w:r>
            <w:r>
              <w:rPr>
                <w:rFonts w:hint="eastAsia" w:ascii="仿宋_GB2312" w:hAnsi="仿宋" w:eastAsia="仿宋_GB2312" w:cs="宋体"/>
                <w:kern w:val="0"/>
                <w:sz w:val="24"/>
              </w:rPr>
              <w:t>，《劳动人事争议仲裁办案规则》（2017年人社部令第7号）第二条，关于仲裁案件受理范围的规定；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2．《中华人民共和国劳动争议调解仲裁法》</w:t>
            </w:r>
            <w:r>
              <w:rPr>
                <w:rFonts w:hint="eastAsia" w:ascii="仿宋_GB2312" w:hAnsi="仿宋" w:eastAsia="仿宋_GB2312" w:cs="宋体"/>
                <w:bCs/>
                <w:kern w:val="0"/>
                <w:sz w:val="24"/>
              </w:rPr>
              <w:t>第二十八条</w:t>
            </w:r>
            <w:r>
              <w:rPr>
                <w:rFonts w:hint="eastAsia" w:ascii="仿宋_GB2312" w:hAnsi="仿宋" w:eastAsia="仿宋_GB2312" w:cs="宋体"/>
                <w:kern w:val="0"/>
                <w:sz w:val="24"/>
              </w:rPr>
              <w:t>，《劳动人事争议仲裁办案规则》（2017年人社部令第7号）第二十九条，关于提交仲裁申请所需材料的规定；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3．《劳动人事争议仲裁办案规则》（2017年人社部令第7号）第三十条，关于立案受理条件的规定；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4．《劳动人事争议仲裁办案规则》（2017年人社部令第7号）第三十一条、第三十四条、第三十六条、第三十九条，关于不予受理情形的规定；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5．《中华人民共和国劳动争议调解仲裁法》</w:t>
            </w:r>
            <w:r>
              <w:rPr>
                <w:rFonts w:hint="eastAsia" w:ascii="仿宋_GB2312" w:hAnsi="仿宋" w:eastAsia="仿宋_GB2312" w:cs="宋体"/>
                <w:bCs/>
                <w:kern w:val="0"/>
                <w:sz w:val="24"/>
              </w:rPr>
              <w:t>第二十九条、第三十条</w:t>
            </w:r>
            <w:r>
              <w:rPr>
                <w:rFonts w:hint="eastAsia" w:ascii="仿宋_GB2312" w:hAnsi="仿宋" w:eastAsia="仿宋_GB2312" w:cs="宋体"/>
                <w:kern w:val="0"/>
                <w:sz w:val="24"/>
              </w:rPr>
              <w:t>，《劳动人事争议仲裁办案规则》（2017年人社部令第7号）第二十条，关于送达文书的规定；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6．《劳动人事争议仲裁办案规则》（2017年人社部令第7号）第三十三条、第三十七条、第三十八条，第四十六条（二）、（五），关于送达文书期限的规定；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7．《劳动人事争议仲裁办案规则》（2017年人社部令第7号）第三十二条，关于案件撤销的规定；</w:t>
            </w:r>
          </w:p>
          <w:p>
            <w:pPr>
              <w:widowControl/>
              <w:jc w:val="left"/>
              <w:rPr>
                <w:rFonts w:hint="eastAsia" w:ascii="仿宋_GB2312" w:hAnsi="仿宋" w:eastAsia="仿宋_GB2312" w:cs="宋体"/>
                <w:kern w:val="0"/>
                <w:sz w:val="24"/>
              </w:rPr>
            </w:pPr>
            <w:r>
              <w:rPr>
                <w:rFonts w:hint="eastAsia" w:ascii="仿宋_GB2312" w:hAnsi="仿宋" w:eastAsia="仿宋_GB2312" w:cs="宋体"/>
                <w:kern w:val="0"/>
                <w:sz w:val="24"/>
              </w:rPr>
              <w:t>8．《中华人民共和国劳动争议调解仲裁法》</w:t>
            </w:r>
            <w:r>
              <w:rPr>
                <w:rFonts w:hint="eastAsia" w:ascii="仿宋_GB2312" w:hAnsi="仿宋" w:eastAsia="仿宋_GB2312" w:cs="宋体"/>
                <w:bCs/>
                <w:kern w:val="0"/>
                <w:sz w:val="24"/>
              </w:rPr>
              <w:t>第二十一条</w:t>
            </w:r>
            <w:r>
              <w:rPr>
                <w:rFonts w:hint="eastAsia" w:ascii="仿宋_GB2312" w:hAnsi="仿宋" w:eastAsia="仿宋_GB2312" w:cs="宋体"/>
                <w:kern w:val="0"/>
                <w:sz w:val="24"/>
              </w:rPr>
              <w:t>，《劳动人事争议仲裁办案规则》（2017年人社部令第7号）第八条，《市人力社保局关于调整劳动人事争议仲裁管辖问题的通知》（津人社局发〔2012〕60号），关于仲裁案件管辖的规定。</w:t>
            </w:r>
          </w:p>
        </w:tc>
      </w:tr>
      <w:tr>
        <w:tblPrEx>
          <w:tblCellMar>
            <w:top w:w="0" w:type="dxa"/>
            <w:left w:w="108" w:type="dxa"/>
            <w:bottom w:w="0" w:type="dxa"/>
            <w:right w:w="108" w:type="dxa"/>
          </w:tblCellMar>
        </w:tblPrEx>
        <w:trPr>
          <w:gridAfter w:val="1"/>
          <w:wAfter w:w="702" w:type="dxa"/>
          <w:trHeight w:val="1131"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实施机构</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仿宋" w:eastAsia="仿宋_GB2312" w:cs="宋体"/>
                <w:kern w:val="0"/>
                <w:sz w:val="24"/>
                <w:lang w:eastAsia="zh-CN"/>
              </w:rPr>
              <w:t>宁河</w:t>
            </w:r>
            <w:r>
              <w:rPr>
                <w:rFonts w:hint="eastAsia" w:ascii="仿宋_GB2312" w:hAnsi="仿宋" w:eastAsia="仿宋_GB2312" w:cs="宋体"/>
                <w:kern w:val="0"/>
                <w:sz w:val="24"/>
              </w:rPr>
              <w:t>区劳动人事争议仲裁院（立案庭）</w:t>
            </w:r>
          </w:p>
        </w:tc>
      </w:tr>
      <w:tr>
        <w:tblPrEx>
          <w:tblCellMar>
            <w:top w:w="0" w:type="dxa"/>
            <w:left w:w="108" w:type="dxa"/>
            <w:bottom w:w="0" w:type="dxa"/>
            <w:right w:w="108" w:type="dxa"/>
          </w:tblCellMar>
        </w:tblPrEx>
        <w:trPr>
          <w:gridAfter w:val="1"/>
          <w:wAfter w:w="702" w:type="dxa"/>
          <w:trHeight w:val="848"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职责边界</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仿宋" w:eastAsia="仿宋_GB2312" w:cs="宋体"/>
                <w:kern w:val="0"/>
                <w:sz w:val="24"/>
              </w:rPr>
              <w:t>立案庭独立承担立案接待，立案审查，文书送达。</w:t>
            </w:r>
          </w:p>
        </w:tc>
      </w:tr>
      <w:tr>
        <w:tblPrEx>
          <w:tblCellMar>
            <w:top w:w="0" w:type="dxa"/>
            <w:left w:w="108" w:type="dxa"/>
            <w:bottom w:w="0" w:type="dxa"/>
            <w:right w:w="108" w:type="dxa"/>
          </w:tblCellMar>
        </w:tblPrEx>
        <w:trPr>
          <w:gridAfter w:val="1"/>
          <w:wAfter w:w="702" w:type="dxa"/>
          <w:trHeight w:val="810"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运行流程</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仿宋" w:eastAsia="仿宋_GB2312" w:cs="宋体"/>
                <w:kern w:val="0"/>
                <w:sz w:val="24"/>
              </w:rPr>
              <w:t>立案接待—立案受理—文书送达；立案接待—不予受理—不予受理通知书送达</w:t>
            </w:r>
          </w:p>
        </w:tc>
      </w:tr>
      <w:tr>
        <w:tblPrEx>
          <w:tblCellMar>
            <w:top w:w="0" w:type="dxa"/>
            <w:left w:w="108" w:type="dxa"/>
            <w:bottom w:w="0" w:type="dxa"/>
            <w:right w:w="108" w:type="dxa"/>
          </w:tblCellMar>
        </w:tblPrEx>
        <w:trPr>
          <w:gridAfter w:val="1"/>
          <w:wAfter w:w="702" w:type="dxa"/>
          <w:trHeight w:val="1128"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hint="eastAsia" w:ascii="方正黑体简体" w:hAnsi="宋体" w:eastAsia="方正黑体简体" w:cs="宋体"/>
                <w:kern w:val="0"/>
                <w:sz w:val="32"/>
                <w:szCs w:val="32"/>
              </w:rPr>
            </w:pPr>
            <w:r>
              <w:rPr>
                <w:rFonts w:hint="eastAsia" w:ascii="黑体" w:hAnsi="黑体" w:eastAsia="黑体" w:cs="宋体"/>
                <w:kern w:val="0"/>
                <w:sz w:val="32"/>
                <w:szCs w:val="32"/>
              </w:rPr>
              <w:t>运行要件</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widowControl/>
              <w:numPr>
                <w:ilvl w:val="0"/>
                <w:numId w:val="2"/>
              </w:numPr>
              <w:jc w:val="left"/>
              <w:rPr>
                <w:rFonts w:hint="eastAsia" w:ascii="仿宋_GB2312" w:hAnsi="仿宋" w:eastAsia="仿宋_GB2312" w:cs="宋体"/>
                <w:color w:val="000000"/>
                <w:kern w:val="0"/>
                <w:sz w:val="24"/>
              </w:rPr>
            </w:pPr>
            <w:r>
              <w:rPr>
                <w:rFonts w:hint="eastAsia" w:ascii="仿宋_GB2312" w:hAnsi="仿宋" w:eastAsia="仿宋_GB2312" w:cs="宋体"/>
                <w:color w:val="000000"/>
                <w:kern w:val="0"/>
                <w:sz w:val="24"/>
              </w:rPr>
              <w:t>立案接待，申请仲裁须提供劳动者身份证明、用人单位注册信息、书面仲裁申请书及副本、双方存在利害关系的材料。依据：</w:t>
            </w:r>
            <w:r>
              <w:rPr>
                <w:rFonts w:hint="eastAsia" w:ascii="仿宋_GB2312" w:hAnsi="仿宋" w:eastAsia="仿宋_GB2312" w:cs="宋体"/>
                <w:kern w:val="0"/>
                <w:sz w:val="24"/>
              </w:rPr>
              <w:t>《中华人民共和国劳动争议调解仲裁法》</w:t>
            </w:r>
            <w:r>
              <w:rPr>
                <w:rFonts w:hint="eastAsia" w:ascii="仿宋_GB2312" w:hAnsi="仿宋" w:eastAsia="仿宋_GB2312" w:cs="宋体"/>
                <w:bCs/>
                <w:kern w:val="0"/>
                <w:sz w:val="24"/>
              </w:rPr>
              <w:t>第二十八条</w:t>
            </w:r>
            <w:r>
              <w:rPr>
                <w:rFonts w:hint="eastAsia" w:ascii="仿宋_GB2312" w:hAnsi="仿宋" w:eastAsia="仿宋_GB2312" w:cs="宋体"/>
                <w:kern w:val="0"/>
                <w:sz w:val="24"/>
              </w:rPr>
              <w:t>，《劳动人事争议仲裁办案规则》（2017年人社部令第7号）第二十九条。</w:t>
            </w:r>
          </w:p>
          <w:p>
            <w:pPr>
              <w:widowControl/>
              <w:numPr>
                <w:ilvl w:val="0"/>
                <w:numId w:val="2"/>
              </w:numPr>
              <w:jc w:val="left"/>
              <w:rPr>
                <w:rFonts w:hint="eastAsia" w:ascii="仿宋_GB2312" w:hAnsi="仿宋" w:eastAsia="仿宋_GB2312" w:cs="宋体"/>
                <w:kern w:val="0"/>
                <w:sz w:val="24"/>
              </w:rPr>
            </w:pPr>
            <w:r>
              <w:rPr>
                <w:rFonts w:hint="eastAsia" w:ascii="仿宋_GB2312" w:hAnsi="仿宋" w:eastAsia="仿宋_GB2312" w:cs="宋体"/>
                <w:color w:val="000000"/>
                <w:kern w:val="0"/>
                <w:sz w:val="24"/>
              </w:rPr>
              <w:t>立案审查，审查是否符合受理条件，符合的出具受理通知书，不符合的出具不予受理通知书。依据：</w:t>
            </w:r>
            <w:r>
              <w:rPr>
                <w:rFonts w:hint="eastAsia" w:ascii="仿宋_GB2312" w:hAnsi="仿宋" w:eastAsia="仿宋_GB2312" w:cs="宋体"/>
                <w:kern w:val="0"/>
                <w:sz w:val="24"/>
              </w:rPr>
              <w:t>《中华人民共和国劳动争议调解仲裁法》</w:t>
            </w:r>
            <w:r>
              <w:rPr>
                <w:rFonts w:hint="eastAsia" w:ascii="仿宋_GB2312" w:hAnsi="仿宋" w:eastAsia="仿宋_GB2312" w:cs="宋体"/>
                <w:bCs/>
                <w:kern w:val="0"/>
                <w:sz w:val="24"/>
              </w:rPr>
              <w:t>第二条</w:t>
            </w:r>
            <w:r>
              <w:rPr>
                <w:rFonts w:hint="eastAsia" w:ascii="仿宋_GB2312" w:hAnsi="仿宋" w:eastAsia="仿宋_GB2312" w:cs="宋体"/>
                <w:kern w:val="0"/>
                <w:sz w:val="24"/>
              </w:rPr>
              <w:t>，《劳动人事争议仲裁办案规则》（2017年人社部令第7号）第二条，第三十条，第三十一条、第三十四条、第三十六条、第三十九条。</w:t>
            </w:r>
          </w:p>
          <w:p>
            <w:pPr>
              <w:widowControl/>
              <w:numPr>
                <w:ilvl w:val="0"/>
                <w:numId w:val="2"/>
              </w:numPr>
              <w:jc w:val="left"/>
              <w:rPr>
                <w:rFonts w:hint="eastAsia" w:ascii="仿宋_GB2312" w:hAnsi="仿宋" w:eastAsia="仿宋_GB2312" w:cs="宋体"/>
                <w:color w:val="000000"/>
                <w:kern w:val="0"/>
                <w:sz w:val="24"/>
              </w:rPr>
            </w:pPr>
            <w:r>
              <w:rPr>
                <w:rFonts w:hint="eastAsia" w:ascii="仿宋_GB2312" w:hAnsi="仿宋" w:eastAsia="仿宋_GB2312" w:cs="宋体"/>
                <w:color w:val="000000"/>
                <w:kern w:val="0"/>
                <w:sz w:val="24"/>
              </w:rPr>
              <w:t>文书送达，送达包含受理通知、开庭通知，申请书副本、应诉通知书，不予受理通知书等仲裁文书。依据：</w:t>
            </w:r>
            <w:r>
              <w:rPr>
                <w:rFonts w:hint="eastAsia" w:ascii="仿宋_GB2312" w:hAnsi="仿宋" w:eastAsia="仿宋_GB2312" w:cs="宋体"/>
                <w:kern w:val="0"/>
                <w:sz w:val="24"/>
              </w:rPr>
              <w:t>《中华人民共和国劳动争议调解仲裁法》</w:t>
            </w:r>
            <w:r>
              <w:rPr>
                <w:rFonts w:hint="eastAsia" w:ascii="仿宋_GB2312" w:hAnsi="仿宋" w:eastAsia="仿宋_GB2312" w:cs="宋体"/>
                <w:bCs/>
                <w:kern w:val="0"/>
                <w:sz w:val="24"/>
              </w:rPr>
              <w:t>第二十九条、第三十条</w:t>
            </w:r>
            <w:r>
              <w:rPr>
                <w:rFonts w:hint="eastAsia" w:ascii="仿宋_GB2312" w:hAnsi="仿宋" w:eastAsia="仿宋_GB2312" w:cs="宋体"/>
                <w:kern w:val="0"/>
                <w:sz w:val="24"/>
              </w:rPr>
              <w:t>，《劳动人事争议仲裁办案规则》（2017年人社部令第7号）第二十条。</w:t>
            </w:r>
          </w:p>
          <w:p>
            <w:pPr>
              <w:widowControl/>
              <w:numPr>
                <w:ilvl w:val="0"/>
                <w:numId w:val="2"/>
              </w:numPr>
              <w:jc w:val="left"/>
              <w:rPr>
                <w:rFonts w:hint="eastAsia" w:ascii="仿宋_GB2312" w:hAnsi="仿宋" w:eastAsia="仿宋_GB2312" w:cs="宋体"/>
                <w:color w:val="000000"/>
                <w:kern w:val="0"/>
                <w:sz w:val="24"/>
              </w:rPr>
            </w:pPr>
            <w:r>
              <w:rPr>
                <w:rFonts w:hint="eastAsia" w:ascii="仿宋_GB2312" w:hAnsi="仿宋" w:eastAsia="仿宋_GB2312" w:cs="宋体"/>
                <w:color w:val="000000"/>
                <w:kern w:val="0"/>
                <w:sz w:val="24"/>
              </w:rPr>
              <w:t>送达时限和方式符合法律规定。依据：</w:t>
            </w:r>
            <w:r>
              <w:rPr>
                <w:rFonts w:hint="eastAsia" w:ascii="仿宋_GB2312" w:hAnsi="仿宋" w:eastAsia="仿宋_GB2312" w:cs="宋体"/>
                <w:kern w:val="0"/>
                <w:sz w:val="24"/>
              </w:rPr>
              <w:t>《劳动人事争议仲裁办案规则》（2017年人社部令第7号）第三十三条、第三十七条、第三十八条，第四十六条（二）、（五）</w:t>
            </w:r>
            <w:r>
              <w:rPr>
                <w:rFonts w:hint="eastAsia" w:ascii="仿宋_GB2312" w:hAnsi="仿宋" w:eastAsia="仿宋_GB2312" w:cs="宋体"/>
                <w:color w:val="000000"/>
                <w:kern w:val="0"/>
                <w:sz w:val="24"/>
              </w:rPr>
              <w:t>。</w:t>
            </w:r>
          </w:p>
        </w:tc>
      </w:tr>
      <w:tr>
        <w:tblPrEx>
          <w:tblCellMar>
            <w:top w:w="0" w:type="dxa"/>
            <w:left w:w="108" w:type="dxa"/>
            <w:bottom w:w="0" w:type="dxa"/>
            <w:right w:w="108" w:type="dxa"/>
          </w:tblCellMar>
        </w:tblPrEx>
        <w:trPr>
          <w:gridAfter w:val="1"/>
          <w:wAfter w:w="702" w:type="dxa"/>
          <w:trHeight w:val="1128" w:hRule="atLeast"/>
        </w:trPr>
        <w:tc>
          <w:tcPr>
            <w:tcW w:w="2283" w:type="dxa"/>
            <w:tcBorders>
              <w:top w:val="single" w:color="auto" w:sz="6" w:space="0"/>
              <w:left w:val="single" w:color="auto" w:sz="4" w:space="0"/>
              <w:bottom w:val="single" w:color="auto" w:sz="6"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责任事项</w:t>
            </w:r>
          </w:p>
        </w:tc>
        <w:tc>
          <w:tcPr>
            <w:tcW w:w="6635" w:type="dxa"/>
            <w:gridSpan w:val="2"/>
            <w:tcBorders>
              <w:top w:val="single" w:color="auto" w:sz="6" w:space="0"/>
              <w:left w:val="single" w:color="auto" w:sz="6" w:space="0"/>
              <w:bottom w:val="single" w:color="auto" w:sz="6" w:space="0"/>
              <w:right w:val="single" w:color="auto" w:sz="4" w:space="0"/>
            </w:tcBorders>
            <w:noWrap w:val="0"/>
            <w:vAlign w:val="center"/>
          </w:tcPr>
          <w:p>
            <w:pPr>
              <w:pStyle w:val="9"/>
              <w:numPr>
                <w:ilvl w:val="0"/>
                <w:numId w:val="0"/>
              </w:numPr>
              <w:rPr>
                <w:rFonts w:hint="eastAsia" w:ascii="仿宋_GB2312" w:hAnsi="仿宋" w:eastAsia="仿宋_GB2312" w:cs="宋体"/>
                <w:color w:val="000000"/>
                <w:sz w:val="24"/>
              </w:rPr>
            </w:pPr>
            <w:r>
              <w:rPr>
                <w:rFonts w:hint="eastAsia" w:ascii="仿宋_GB2312" w:hAnsi="仿宋" w:eastAsia="仿宋_GB2312" w:cs="宋体"/>
                <w:color w:val="000000"/>
                <w:sz w:val="24"/>
              </w:rPr>
              <w:t>1．立案接待时履行一次性告知制，包含</w:t>
            </w:r>
            <w:r>
              <w:rPr>
                <w:rFonts w:hint="eastAsia" w:ascii="仿宋_GB2312" w:hAnsi="仿宋" w:eastAsia="仿宋_GB2312" w:cs="宋体"/>
                <w:color w:val="000000"/>
                <w:sz w:val="24"/>
                <w:szCs w:val="24"/>
              </w:rPr>
              <w:t>申请仲裁提交材料、仲裁的受理范围、仲裁的管辖范围</w:t>
            </w:r>
            <w:r>
              <w:rPr>
                <w:rFonts w:hint="eastAsia" w:ascii="仿宋_GB2312" w:hAnsi="仿宋" w:eastAsia="仿宋_GB2312" w:cs="宋体"/>
                <w:color w:val="000000"/>
                <w:sz w:val="24"/>
              </w:rPr>
              <w:t>；</w:t>
            </w:r>
          </w:p>
          <w:p>
            <w:pPr>
              <w:widowControl/>
              <w:jc w:val="left"/>
              <w:rPr>
                <w:rFonts w:hint="eastAsia" w:ascii="仿宋_GB2312" w:hAnsi="仿宋" w:eastAsia="仿宋_GB2312" w:cs="宋体"/>
                <w:color w:val="000000"/>
                <w:kern w:val="0"/>
                <w:sz w:val="24"/>
              </w:rPr>
            </w:pPr>
            <w:r>
              <w:rPr>
                <w:rFonts w:hint="eastAsia" w:ascii="仿宋_GB2312" w:hAnsi="仿宋" w:eastAsia="仿宋_GB2312" w:cs="宋体"/>
                <w:color w:val="000000"/>
                <w:kern w:val="0"/>
                <w:sz w:val="24"/>
              </w:rPr>
              <w:t>2．收到仲裁申请之日起五日内向申请人作出受理或者不予受理通知；</w:t>
            </w:r>
          </w:p>
          <w:p>
            <w:pPr>
              <w:widowControl/>
              <w:jc w:val="left"/>
              <w:rPr>
                <w:rFonts w:hint="eastAsia" w:ascii="仿宋_GB2312" w:hAnsi="仿宋" w:eastAsia="仿宋_GB2312" w:cs="宋体"/>
                <w:color w:val="000000"/>
                <w:kern w:val="0"/>
                <w:sz w:val="24"/>
              </w:rPr>
            </w:pPr>
            <w:r>
              <w:rPr>
                <w:rFonts w:hint="eastAsia" w:ascii="仿宋_GB2312" w:hAnsi="仿宋" w:eastAsia="仿宋_GB2312" w:cs="宋体"/>
                <w:color w:val="000000"/>
                <w:kern w:val="0"/>
                <w:sz w:val="24"/>
              </w:rPr>
              <w:t>3．依</w:t>
            </w:r>
            <w:r>
              <w:rPr>
                <w:rFonts w:hint="eastAsia" w:ascii="仿宋_GB2312" w:hAnsi="仿宋" w:eastAsia="仿宋_GB2312" w:cs="宋体"/>
                <w:kern w:val="0"/>
                <w:sz w:val="24"/>
              </w:rPr>
              <w:t>法律法规规定</w:t>
            </w:r>
            <w:r>
              <w:rPr>
                <w:rFonts w:hint="eastAsia" w:ascii="仿宋_GB2312" w:hAnsi="仿宋" w:eastAsia="仿宋_GB2312" w:cs="宋体"/>
                <w:color w:val="000000"/>
                <w:kern w:val="0"/>
                <w:sz w:val="24"/>
              </w:rPr>
              <w:t>送达相关仲裁文书。</w:t>
            </w:r>
          </w:p>
          <w:p>
            <w:pPr>
              <w:widowControl/>
              <w:jc w:val="left"/>
              <w:rPr>
                <w:rFonts w:hint="eastAsia" w:ascii="仿宋_GB2312" w:hAnsi="宋体" w:eastAsia="仿宋_GB2312" w:cs="宋体"/>
                <w:kern w:val="0"/>
                <w:sz w:val="32"/>
                <w:szCs w:val="32"/>
              </w:rPr>
            </w:pPr>
            <w:r>
              <w:rPr>
                <w:rFonts w:hint="eastAsia" w:ascii="仿宋_GB2312" w:hAnsi="仿宋" w:eastAsia="仿宋_GB2312" w:cs="宋体"/>
                <w:color w:val="000000"/>
                <w:kern w:val="0"/>
                <w:sz w:val="24"/>
              </w:rPr>
              <w:t>4．受理案件后，发现不应当受理的，除管辖原因外，应当撤销案件，并自决定撤销案件后五日内，以决定书的形式通知当事人。</w:t>
            </w:r>
          </w:p>
        </w:tc>
      </w:tr>
      <w:tr>
        <w:tblPrEx>
          <w:tblCellMar>
            <w:top w:w="0" w:type="dxa"/>
            <w:left w:w="108" w:type="dxa"/>
            <w:bottom w:w="0" w:type="dxa"/>
            <w:right w:w="108" w:type="dxa"/>
          </w:tblCellMar>
        </w:tblPrEx>
        <w:trPr>
          <w:gridAfter w:val="1"/>
          <w:wAfter w:w="702" w:type="dxa"/>
          <w:trHeight w:val="1024" w:hRule="atLeast"/>
        </w:trPr>
        <w:tc>
          <w:tcPr>
            <w:tcW w:w="2283" w:type="dxa"/>
            <w:tcBorders>
              <w:top w:val="single" w:color="auto" w:sz="6" w:space="0"/>
              <w:left w:val="single" w:color="auto" w:sz="4" w:space="0"/>
              <w:bottom w:val="single" w:color="auto" w:sz="4" w:space="0"/>
              <w:right w:val="single" w:color="auto" w:sz="6" w:space="0"/>
            </w:tcBorders>
            <w:noWrap w:val="0"/>
            <w:vAlign w:val="center"/>
          </w:tcPr>
          <w:p>
            <w:pPr>
              <w:widowControl/>
              <w:jc w:val="center"/>
              <w:rPr>
                <w:rFonts w:ascii="方正黑体简体" w:hAnsi="宋体" w:eastAsia="方正黑体简体" w:cs="宋体"/>
                <w:kern w:val="0"/>
                <w:sz w:val="32"/>
                <w:szCs w:val="32"/>
              </w:rPr>
            </w:pPr>
            <w:r>
              <w:rPr>
                <w:rFonts w:hint="eastAsia" w:ascii="黑体" w:hAnsi="黑体" w:eastAsia="黑体" w:cs="宋体"/>
                <w:kern w:val="0"/>
                <w:sz w:val="32"/>
                <w:szCs w:val="32"/>
              </w:rPr>
              <w:t>监督方式</w:t>
            </w:r>
          </w:p>
        </w:tc>
        <w:tc>
          <w:tcPr>
            <w:tcW w:w="6635" w:type="dxa"/>
            <w:gridSpan w:val="2"/>
            <w:tcBorders>
              <w:top w:val="single" w:color="auto" w:sz="6" w:space="0"/>
              <w:left w:val="single" w:color="auto" w:sz="6" w:space="0"/>
              <w:bottom w:val="single" w:color="auto" w:sz="4" w:space="0"/>
              <w:right w:val="single" w:color="auto" w:sz="4" w:space="0"/>
            </w:tcBorders>
            <w:noWrap w:val="0"/>
            <w:vAlign w:val="center"/>
          </w:tcPr>
          <w:p>
            <w:pPr>
              <w:widowControl/>
              <w:jc w:val="left"/>
              <w:rPr>
                <w:rFonts w:hint="eastAsia" w:ascii="方正仿宋简体" w:hAnsi="宋体" w:eastAsia="方正仿宋简体" w:cs="宋体"/>
                <w:kern w:val="0"/>
                <w:sz w:val="32"/>
                <w:szCs w:val="32"/>
              </w:rPr>
            </w:pPr>
            <w:r>
              <w:rPr>
                <w:rFonts w:hint="eastAsia" w:ascii="方正仿宋简体" w:hAnsi="宋体" w:eastAsia="方正仿宋简体" w:cs="宋体"/>
                <w:kern w:val="0"/>
                <w:sz w:val="32"/>
                <w:szCs w:val="32"/>
              </w:rPr>
              <w:t>地址：天津市宁河区经济开发区五纬路1-1号</w:t>
            </w:r>
          </w:p>
          <w:p>
            <w:pPr>
              <w:widowControl/>
              <w:jc w:val="left"/>
              <w:rPr>
                <w:rFonts w:hint="eastAsia" w:ascii="方正仿宋简体" w:hAnsi="宋体" w:eastAsia="方正仿宋简体" w:cs="宋体"/>
                <w:kern w:val="0"/>
                <w:sz w:val="32"/>
                <w:szCs w:val="32"/>
                <w:lang w:val="en-US" w:eastAsia="zh-CN"/>
              </w:rPr>
            </w:pPr>
            <w:r>
              <w:rPr>
                <w:rFonts w:hint="eastAsia" w:ascii="方正仿宋简体" w:hAnsi="宋体" w:eastAsia="方正仿宋简体" w:cs="宋体"/>
                <w:kern w:val="0"/>
                <w:sz w:val="32"/>
                <w:szCs w:val="32"/>
              </w:rPr>
              <w:t>电话：</w:t>
            </w:r>
            <w:r>
              <w:rPr>
                <w:rFonts w:hint="eastAsia" w:ascii="方正仿宋简体" w:hAnsi="宋体" w:eastAsia="方正仿宋简体" w:cs="宋体"/>
                <w:kern w:val="0"/>
                <w:sz w:val="32"/>
                <w:szCs w:val="32"/>
                <w:lang w:val="en-US" w:eastAsia="zh-CN"/>
              </w:rPr>
              <w:t>022-69592447</w:t>
            </w:r>
          </w:p>
          <w:p>
            <w:pPr>
              <w:widowControl/>
              <w:jc w:val="left"/>
              <w:rPr>
                <w:rFonts w:hint="eastAsia" w:ascii="方正仿宋简体" w:hAnsi="宋体" w:eastAsia="方正仿宋简体" w:cs="宋体"/>
                <w:kern w:val="0"/>
                <w:sz w:val="32"/>
                <w:szCs w:val="32"/>
                <w:lang w:val="en-US" w:eastAsia="zh-CN"/>
              </w:rPr>
            </w:pPr>
            <w:r>
              <w:rPr>
                <w:rFonts w:hint="eastAsia" w:ascii="方正仿宋简体" w:hAnsi="宋体" w:eastAsia="方正仿宋简体" w:cs="宋体"/>
                <w:kern w:val="0"/>
                <w:sz w:val="32"/>
                <w:szCs w:val="32"/>
                <w:lang w:val="en-US" w:eastAsia="zh-CN"/>
              </w:rPr>
              <w:t>邮箱：</w:t>
            </w:r>
            <w:r>
              <w:rPr>
                <w:rFonts w:hint="eastAsia" w:ascii="方正仿宋简体" w:hAnsi="宋体" w:eastAsia="方正仿宋简体" w:cs="宋体"/>
                <w:kern w:val="0"/>
                <w:sz w:val="32"/>
                <w:szCs w:val="32"/>
                <w:lang w:val="en-US" w:eastAsia="zh-CN"/>
              </w:rPr>
              <w:fldChar w:fldCharType="begin"/>
            </w:r>
            <w:r>
              <w:rPr>
                <w:rFonts w:hint="eastAsia" w:ascii="方正仿宋简体" w:hAnsi="宋体" w:eastAsia="方正仿宋简体" w:cs="宋体"/>
                <w:kern w:val="0"/>
                <w:sz w:val="32"/>
                <w:szCs w:val="32"/>
                <w:lang w:val="en-US" w:eastAsia="zh-CN"/>
              </w:rPr>
              <w:instrText xml:space="preserve"> HYPERLINK "mailto:nhqrlsbj14@tj.gov.cn" </w:instrText>
            </w:r>
            <w:r>
              <w:rPr>
                <w:rFonts w:hint="eastAsia" w:ascii="方正仿宋简体" w:hAnsi="宋体" w:eastAsia="方正仿宋简体" w:cs="宋体"/>
                <w:kern w:val="0"/>
                <w:sz w:val="32"/>
                <w:szCs w:val="32"/>
                <w:lang w:val="en-US" w:eastAsia="zh-CN"/>
              </w:rPr>
              <w:fldChar w:fldCharType="separate"/>
            </w:r>
            <w:r>
              <w:rPr>
                <w:rStyle w:val="6"/>
                <w:rFonts w:hint="eastAsia" w:ascii="方正仿宋简体" w:hAnsi="宋体" w:eastAsia="方正仿宋简体" w:cs="宋体"/>
                <w:kern w:val="0"/>
                <w:sz w:val="32"/>
                <w:szCs w:val="32"/>
                <w:lang w:val="en-US" w:eastAsia="zh-CN"/>
              </w:rPr>
              <w:t>nhqrlsbj14@tj.gov.cn</w:t>
            </w:r>
            <w:r>
              <w:rPr>
                <w:rFonts w:hint="eastAsia" w:ascii="方正仿宋简体" w:hAnsi="宋体" w:eastAsia="方正仿宋简体" w:cs="宋体"/>
                <w:kern w:val="0"/>
                <w:sz w:val="32"/>
                <w:szCs w:val="32"/>
                <w:lang w:val="en-US" w:eastAsia="zh-CN"/>
              </w:rPr>
              <w:fldChar w:fldCharType="end"/>
            </w:r>
          </w:p>
          <w:p>
            <w:pPr>
              <w:widowControl/>
              <w:jc w:val="left"/>
              <w:rPr>
                <w:rFonts w:ascii="方正仿宋简体" w:hAnsi="宋体" w:eastAsia="方正仿宋简体" w:cs="宋体"/>
                <w:kern w:val="0"/>
                <w:sz w:val="32"/>
                <w:szCs w:val="32"/>
              </w:rPr>
            </w:pPr>
            <w:r>
              <w:rPr>
                <w:rFonts w:hint="eastAsia" w:ascii="方正仿宋简体" w:hAnsi="宋体" w:eastAsia="方正仿宋简体" w:cs="宋体"/>
                <w:kern w:val="0"/>
                <w:sz w:val="32"/>
                <w:szCs w:val="32"/>
                <w:lang w:val="en-US" w:eastAsia="zh-CN"/>
              </w:rPr>
              <w:t>邮编：301500</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917C3"/>
    <w:multiLevelType w:val="multilevel"/>
    <w:tmpl w:val="2C5917C3"/>
    <w:lvl w:ilvl="0" w:tentative="0">
      <w:start w:val="1"/>
      <w:numFmt w:val="none"/>
      <w:pStyle w:val="9"/>
      <w:suff w:val="nothing"/>
      <w:lvlText w:val="%1——"/>
      <w:lvlJc w:val="left"/>
      <w:pPr>
        <w:ind w:left="834"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71E22D81"/>
    <w:multiLevelType w:val="multilevel"/>
    <w:tmpl w:val="71E22D8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2E5D"/>
    <w:rsid w:val="001F162D"/>
    <w:rsid w:val="0027692E"/>
    <w:rsid w:val="002D5D30"/>
    <w:rsid w:val="002F2E55"/>
    <w:rsid w:val="00351A2E"/>
    <w:rsid w:val="003A5A05"/>
    <w:rsid w:val="004F507E"/>
    <w:rsid w:val="00552E5D"/>
    <w:rsid w:val="00677443"/>
    <w:rsid w:val="006855BD"/>
    <w:rsid w:val="00730149"/>
    <w:rsid w:val="00797F72"/>
    <w:rsid w:val="008F0333"/>
    <w:rsid w:val="00AB7C48"/>
    <w:rsid w:val="00B62551"/>
    <w:rsid w:val="00B94A09"/>
    <w:rsid w:val="00D82C81"/>
    <w:rsid w:val="00DE4D70"/>
    <w:rsid w:val="00E10898"/>
    <w:rsid w:val="00EB5AA9"/>
    <w:rsid w:val="00FC0745"/>
    <w:rsid w:val="02A4118E"/>
    <w:rsid w:val="45323009"/>
    <w:rsid w:val="4FD25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列项——（一级）"/>
    <w:uiPriority w:val="0"/>
    <w:pPr>
      <w:widowControl w:val="0"/>
      <w:numPr>
        <w:ilvl w:val="0"/>
        <w:numId w:val="1"/>
      </w:numPr>
      <w:ind w:left="833"/>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3</Pages>
  <Words>183</Words>
  <Characters>1047</Characters>
  <Lines>8</Lines>
  <Paragraphs>2</Paragraphs>
  <TotalTime>0</TotalTime>
  <ScaleCrop>false</ScaleCrop>
  <LinksUpToDate>false</LinksUpToDate>
  <CharactersWithSpaces>1228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2017-11-29T01:07:00Z</dcterms:created>
  <dc:creator>DELL</dc:creator>
  <cp:lastModifiedBy>dell</cp:lastModifiedBy>
  <cp:lastPrinted>2017-11-29T06:54:00Z</cp:lastPrinted>
  <dcterms:modified xsi:type="dcterms:W3CDTF">2021-08-23T03:52:29Z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96D5B44826CD4B0E8D34B1A60ADC9ED8</vt:lpwstr>
  </property>
</Properties>
</file>